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AD47" w14:textId="4220038E" w:rsidR="00B75ADE" w:rsidRDefault="00B75ADE" w:rsidP="007C3476"/>
    <w:p w14:paraId="4C8928B4" w14:textId="2ADD0C85" w:rsidR="00E7311D" w:rsidRPr="00E7311D" w:rsidRDefault="00E7311D" w:rsidP="00E7311D">
      <w:pPr>
        <w:spacing w:before="100" w:beforeAutospacing="1" w:after="200"/>
        <w:jc w:val="both"/>
        <w:rPr>
          <w:rFonts w:ascii="Verdana" w:hAnsi="Verdana" w:cs="Arial"/>
          <w:b/>
          <w:bCs/>
          <w:i/>
          <w:iCs/>
          <w:sz w:val="22"/>
          <w:szCs w:val="22"/>
        </w:rPr>
      </w:pPr>
      <w:r w:rsidRPr="00E7311D">
        <w:rPr>
          <w:rFonts w:ascii="Verdana" w:hAnsi="Verdana"/>
          <w:b/>
          <w:bCs/>
          <w:i/>
          <w:iCs/>
          <w:sz w:val="22"/>
          <w:szCs w:val="22"/>
        </w:rPr>
        <w:t>Grande successo per i saloni internazionali AquaFarm e NovelFarm e per l’evento AlgaeFarm c</w:t>
      </w:r>
      <w:r w:rsidRPr="00E7311D">
        <w:rPr>
          <w:rFonts w:ascii="Verdana" w:hAnsi="Verdana" w:cs="Arial"/>
          <w:b/>
          <w:bCs/>
          <w:i/>
          <w:iCs/>
          <w:sz w:val="22"/>
          <w:szCs w:val="22"/>
        </w:rPr>
        <w:t xml:space="preserve">he </w:t>
      </w:r>
      <w:r w:rsidRPr="00E7311D">
        <w:rPr>
          <w:rFonts w:ascii="Verdana" w:hAnsi="Verdana" w:cs="Arial"/>
          <w:b/>
          <w:bCs/>
          <w:i/>
          <w:iCs/>
          <w:sz w:val="22"/>
          <w:szCs w:val="22"/>
        </w:rPr>
        <w:t>hanno registrato trend di crescita esplosivi</w:t>
      </w:r>
      <w:r w:rsidRPr="00E7311D">
        <w:rPr>
          <w:rFonts w:ascii="Verdana" w:hAnsi="Verdana" w:cs="Arial"/>
          <w:b/>
          <w:bCs/>
          <w:i/>
          <w:iCs/>
          <w:sz w:val="22"/>
          <w:szCs w:val="22"/>
        </w:rPr>
        <w:t xml:space="preserve">. </w:t>
      </w:r>
      <w:r>
        <w:rPr>
          <w:rFonts w:ascii="Verdana" w:hAnsi="Verdana" w:cs="Arial"/>
          <w:b/>
          <w:bCs/>
          <w:i/>
          <w:iCs/>
          <w:sz w:val="22"/>
          <w:szCs w:val="22"/>
        </w:rPr>
        <w:br/>
        <w:t>Parte molto bene anche</w:t>
      </w:r>
      <w:r w:rsidRPr="00E7311D">
        <w:rPr>
          <w:rFonts w:ascii="Verdana" w:hAnsi="Verdana" w:cs="Arial"/>
          <w:b/>
          <w:bCs/>
          <w:i/>
          <w:iCs/>
          <w:sz w:val="22"/>
          <w:szCs w:val="22"/>
        </w:rPr>
        <w:t xml:space="preserve"> Horeca Next</w:t>
      </w:r>
      <w:r>
        <w:rPr>
          <w:rFonts w:ascii="Verdana" w:hAnsi="Verdana" w:cs="Arial"/>
          <w:b/>
          <w:bCs/>
          <w:i/>
          <w:iCs/>
          <w:sz w:val="22"/>
          <w:szCs w:val="22"/>
        </w:rPr>
        <w:t>.</w:t>
      </w:r>
    </w:p>
    <w:p w14:paraId="44EB57C8" w14:textId="77777777" w:rsidR="00E7311D" w:rsidRPr="00523D00" w:rsidRDefault="00E7311D" w:rsidP="00E7311D">
      <w:pPr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14:paraId="1C57B63B" w14:textId="39615652" w:rsidR="00E7311D" w:rsidRPr="00E7311D" w:rsidRDefault="00E7311D" w:rsidP="00E7311D">
      <w:pPr>
        <w:rPr>
          <w:rFonts w:ascii="Verdana" w:hAnsi="Verdana" w:cs="Arial"/>
          <w:b/>
          <w:bCs/>
        </w:rPr>
      </w:pPr>
      <w:r w:rsidRPr="00E7311D">
        <w:rPr>
          <w:rFonts w:ascii="Verdana" w:hAnsi="Verdana" w:cs="Arial"/>
          <w:b/>
          <w:bCs/>
        </w:rPr>
        <w:t>Grande soddisfazione alla Fiera di Pordenone</w:t>
      </w:r>
      <w:r>
        <w:rPr>
          <w:rFonts w:ascii="Verdana" w:hAnsi="Verdana" w:cs="Arial"/>
          <w:b/>
          <w:bCs/>
        </w:rPr>
        <w:t xml:space="preserve"> che si conferma palcoscenico di riferimento</w:t>
      </w:r>
      <w:r w:rsidRPr="00E7311D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mondiale per gli eventi dedicati</w:t>
      </w:r>
      <w:r w:rsidRPr="00E7311D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alla</w:t>
      </w:r>
      <w:r w:rsidRPr="00E7311D">
        <w:rPr>
          <w:rFonts w:ascii="Verdana" w:hAnsi="Verdana"/>
          <w:b/>
          <w:bCs/>
        </w:rPr>
        <w:t xml:space="preserve"> produzione innovativa e sostenibile di cibo in acqua e a terra</w:t>
      </w:r>
      <w:r>
        <w:rPr>
          <w:rFonts w:ascii="Verdana" w:hAnsi="Verdana"/>
          <w:b/>
          <w:bCs/>
        </w:rPr>
        <w:t xml:space="preserve"> ed entra con sicurezza anche nella filiera della ristorazione</w:t>
      </w:r>
      <w:r w:rsidRPr="00E7311D">
        <w:rPr>
          <w:rFonts w:ascii="Verdana" w:hAnsi="Verdana" w:cs="Arial"/>
          <w:b/>
          <w:bCs/>
        </w:rPr>
        <w:t xml:space="preserve">. </w:t>
      </w:r>
    </w:p>
    <w:p w14:paraId="7CF8B900" w14:textId="358EE648" w:rsidR="00E7311D" w:rsidRDefault="00E7311D" w:rsidP="00E7311D">
      <w:pPr>
        <w:spacing w:before="100" w:beforeAutospacing="1" w:after="200"/>
        <w:jc w:val="both"/>
        <w:rPr>
          <w:rFonts w:ascii="Verdana" w:eastAsia="Times New Roman" w:hAnsi="Verdana" w:cs="Arial"/>
          <w:color w:val="000000"/>
          <w:sz w:val="20"/>
          <w:szCs w:val="20"/>
          <w:lang w:eastAsia="it-IT"/>
        </w:rPr>
      </w:pPr>
      <w:r w:rsidRPr="00E7311D">
        <w:rPr>
          <w:rFonts w:ascii="Verdana" w:hAnsi="Verdana" w:cs="Arial"/>
          <w:i/>
          <w:iCs/>
          <w:sz w:val="20"/>
          <w:szCs w:val="20"/>
        </w:rPr>
        <w:t xml:space="preserve">Pordenone, 16 febbraio 2022. </w:t>
      </w:r>
      <w:r w:rsidRPr="00E7311D">
        <w:rPr>
          <w:rFonts w:ascii="Verdana" w:hAnsi="Verdana" w:cs="Arial"/>
          <w:iCs/>
          <w:sz w:val="20"/>
          <w:szCs w:val="20"/>
        </w:rPr>
        <w:t xml:space="preserve">Numeri da record alla Fiera di Pordenone: una </w:t>
      </w:r>
      <w:proofErr w:type="gramStart"/>
      <w:r w:rsidRPr="00E7311D">
        <w:rPr>
          <w:rFonts w:ascii="Verdana" w:hAnsi="Verdana" w:cs="Arial"/>
          <w:b/>
          <w:bCs/>
          <w:iCs/>
          <w:sz w:val="20"/>
          <w:szCs w:val="20"/>
        </w:rPr>
        <w:t>crescita  del</w:t>
      </w:r>
      <w:proofErr w:type="gramEnd"/>
      <w:r w:rsidRPr="00E7311D">
        <w:rPr>
          <w:rFonts w:ascii="Verdana" w:hAnsi="Verdana" w:cs="Arial"/>
          <w:b/>
          <w:bCs/>
          <w:iCs/>
          <w:sz w:val="20"/>
          <w:szCs w:val="20"/>
        </w:rPr>
        <w:t xml:space="preserve"> 62% dei visitatori</w:t>
      </w:r>
      <w:r w:rsidRPr="00E7311D">
        <w:rPr>
          <w:rFonts w:ascii="Verdana" w:hAnsi="Verdana" w:cs="Arial"/>
          <w:iCs/>
          <w:sz w:val="20"/>
          <w:szCs w:val="20"/>
        </w:rPr>
        <w:t xml:space="preserve"> </w:t>
      </w:r>
      <w:r w:rsidRPr="00E7311D">
        <w:rPr>
          <w:rFonts w:ascii="Verdana" w:hAnsi="Verdana" w:cs="Arial"/>
          <w:b/>
          <w:bCs/>
          <w:iCs/>
          <w:sz w:val="20"/>
          <w:szCs w:val="20"/>
        </w:rPr>
        <w:t>rispetto al 2022</w:t>
      </w:r>
      <w:r w:rsidRPr="00E7311D">
        <w:rPr>
          <w:rFonts w:ascii="Verdana" w:hAnsi="Verdana" w:cs="Arial"/>
          <w:iCs/>
          <w:sz w:val="20"/>
          <w:szCs w:val="20"/>
        </w:rPr>
        <w:t xml:space="preserve"> </w:t>
      </w:r>
      <w:r w:rsidRPr="00E7311D">
        <w:rPr>
          <w:rFonts w:ascii="Verdana" w:hAnsi="Verdana" w:cs="Arial"/>
          <w:b/>
          <w:bCs/>
          <w:iCs/>
          <w:sz w:val="20"/>
          <w:szCs w:val="20"/>
        </w:rPr>
        <w:t>e + 25% se il valore viene confrontat</w:t>
      </w:r>
      <w:r w:rsidRPr="00E7311D">
        <w:rPr>
          <w:rFonts w:ascii="Verdana" w:hAnsi="Verdana" w:cs="Arial"/>
          <w:b/>
          <w:bCs/>
          <w:iCs/>
          <w:sz w:val="20"/>
          <w:szCs w:val="20"/>
        </w:rPr>
        <w:t>o</w:t>
      </w:r>
      <w:r w:rsidRPr="00E7311D">
        <w:rPr>
          <w:rFonts w:ascii="Verdana" w:hAnsi="Verdana" w:cs="Arial"/>
          <w:b/>
          <w:bCs/>
          <w:iCs/>
          <w:sz w:val="20"/>
          <w:szCs w:val="20"/>
        </w:rPr>
        <w:t xml:space="preserve"> all’ultima edizione pre-covid</w:t>
      </w:r>
      <w:r w:rsidRPr="00E7311D">
        <w:rPr>
          <w:rFonts w:ascii="Verdana" w:hAnsi="Verdana" w:cs="Arial"/>
          <w:iCs/>
          <w:sz w:val="20"/>
          <w:szCs w:val="20"/>
        </w:rPr>
        <w:t xml:space="preserve"> è il dato che </w:t>
      </w:r>
      <w:r>
        <w:rPr>
          <w:rFonts w:ascii="Verdana" w:hAnsi="Verdana" w:cs="Arial"/>
          <w:iCs/>
          <w:sz w:val="20"/>
          <w:szCs w:val="20"/>
        </w:rPr>
        <w:t xml:space="preserve">meglio di tutti definisce </w:t>
      </w:r>
      <w:r w:rsidRPr="00E7311D">
        <w:rPr>
          <w:rFonts w:ascii="Verdana" w:hAnsi="Verdana" w:cs="Arial"/>
          <w:iCs/>
          <w:sz w:val="20"/>
          <w:szCs w:val="20"/>
        </w:rPr>
        <w:t xml:space="preserve">il successo della </w:t>
      </w:r>
      <w:r w:rsidRPr="00E7311D">
        <w:rPr>
          <w:rFonts w:ascii="Verdana" w:hAnsi="Verdana" w:cs="Arial"/>
          <w:b/>
          <w:bCs/>
          <w:iCs/>
          <w:sz w:val="20"/>
          <w:szCs w:val="20"/>
        </w:rPr>
        <w:t>sesta edizione di AquaFarm</w:t>
      </w:r>
      <w:r w:rsidRPr="00E7311D">
        <w:rPr>
          <w:rFonts w:ascii="Verdana" w:hAnsi="Verdana" w:cs="Arial"/>
          <w:iCs/>
          <w:sz w:val="20"/>
          <w:szCs w:val="20"/>
        </w:rPr>
        <w:t xml:space="preserve"> e della </w:t>
      </w:r>
      <w:r w:rsidRPr="00E7311D">
        <w:rPr>
          <w:rFonts w:ascii="Verdana" w:hAnsi="Verdana" w:cs="Arial"/>
          <w:b/>
          <w:bCs/>
          <w:iCs/>
          <w:sz w:val="20"/>
          <w:szCs w:val="20"/>
        </w:rPr>
        <w:t>quarta di NovelFarm</w:t>
      </w:r>
      <w:r w:rsidRPr="00E7311D">
        <w:rPr>
          <w:rFonts w:ascii="Verdana" w:hAnsi="Verdana" w:cs="Arial"/>
          <w:iCs/>
          <w:sz w:val="20"/>
          <w:szCs w:val="20"/>
        </w:rPr>
        <w:t xml:space="preserve">, </w:t>
      </w:r>
      <w:r w:rsidRPr="00E7311D">
        <w:rPr>
          <w:rFonts w:ascii="Verdana" w:hAnsi="Verdana" w:cs="Arial"/>
          <w:sz w:val="20"/>
          <w:szCs w:val="20"/>
        </w:rPr>
        <w:t xml:space="preserve">le due manifestazioni internazionali che si sono svolte il 15 e 16 febbraio alla Fiera di Pordenone dedicate alle </w:t>
      </w:r>
      <w:r w:rsidRPr="00E7311D">
        <w:rPr>
          <w:rFonts w:ascii="Verdana" w:hAnsi="Verdana" w:cs="Arial"/>
          <w:b/>
          <w:bCs/>
          <w:sz w:val="20"/>
          <w:szCs w:val="20"/>
        </w:rPr>
        <w:t>tendenze attuali e future delle produzioni alimentari</w:t>
      </w:r>
      <w:r w:rsidRPr="00E7311D">
        <w:rPr>
          <w:rFonts w:ascii="Verdana" w:hAnsi="Verdana" w:cs="Arial"/>
          <w:sz w:val="20"/>
          <w:szCs w:val="20"/>
        </w:rPr>
        <w:t xml:space="preserve">. L’allevamento di specie acquatiche e coltivazione di alghe da un lato (AquaFarm e AlgaeFarm) e le colture in ambiente controllato e vertical farming dall’altro (NovelFarm) sono stati i </w:t>
      </w:r>
      <w:r w:rsidRPr="00E7311D">
        <w:rPr>
          <w:rFonts w:ascii="Verdana" w:hAnsi="Verdana" w:cs="Arial"/>
          <w:b/>
          <w:bCs/>
          <w:sz w:val="20"/>
          <w:szCs w:val="20"/>
        </w:rPr>
        <w:t>fili conduttori</w:t>
      </w:r>
      <w:r w:rsidRPr="00E7311D">
        <w:rPr>
          <w:rFonts w:ascii="Verdana" w:hAnsi="Verdana" w:cs="Arial"/>
          <w:sz w:val="20"/>
          <w:szCs w:val="20"/>
        </w:rPr>
        <w:t xml:space="preserve"> di due giornate molto intense e ricche di contributi e spunti di riflessione, in questo progetto fieristico che si sta affermando come un </w:t>
      </w:r>
      <w:r w:rsidRPr="00E7311D">
        <w:rPr>
          <w:rFonts w:ascii="Verdana" w:hAnsi="Verdana" w:cs="Arial"/>
          <w:b/>
          <w:bCs/>
          <w:sz w:val="20"/>
          <w:szCs w:val="20"/>
        </w:rPr>
        <w:t>punto di riferimento</w:t>
      </w:r>
      <w:r w:rsidRPr="00E7311D">
        <w:rPr>
          <w:rFonts w:ascii="Verdana" w:hAnsi="Verdana" w:cs="Arial"/>
          <w:sz w:val="20"/>
          <w:szCs w:val="20"/>
        </w:rPr>
        <w:t xml:space="preserve"> su scala mondiale. </w:t>
      </w:r>
      <w:r w:rsidRPr="00E7311D">
        <w:rPr>
          <w:rFonts w:ascii="Verdana" w:hAnsi="Verdana" w:cs="Arial"/>
          <w:b/>
          <w:bCs/>
          <w:sz w:val="20"/>
          <w:szCs w:val="20"/>
        </w:rPr>
        <w:t xml:space="preserve">Anche quest’anno il Ministero dell’Agricoltura, della Sovranità Alimentare e delle Foreste è stato tra i protagonisti  </w:t>
      </w:r>
      <w:r>
        <w:rPr>
          <w:rFonts w:ascii="Verdana" w:hAnsi="Verdana" w:cs="Arial"/>
          <w:b/>
          <w:bCs/>
          <w:sz w:val="20"/>
          <w:szCs w:val="20"/>
        </w:rPr>
        <w:t xml:space="preserve">delle </w:t>
      </w:r>
      <w:r w:rsidRPr="00E7311D">
        <w:rPr>
          <w:rFonts w:ascii="Verdana" w:hAnsi="Verdana" w:cs="Arial"/>
          <w:b/>
          <w:bCs/>
          <w:sz w:val="20"/>
          <w:szCs w:val="20"/>
        </w:rPr>
        <w:t>due giornate in fiera</w:t>
      </w:r>
      <w:r w:rsidRPr="00E7311D">
        <w:rPr>
          <w:rFonts w:ascii="Verdana" w:hAnsi="Verdana" w:cs="Arial"/>
          <w:sz w:val="20"/>
          <w:szCs w:val="20"/>
        </w:rPr>
        <w:t xml:space="preserve"> che si sono aperte con la presenza del Ministro </w:t>
      </w:r>
      <w:r w:rsidRPr="00E7311D">
        <w:rPr>
          <w:rFonts w:ascii="Verdana" w:hAnsi="Verdana" w:cs="Arial"/>
          <w:b/>
          <w:bCs/>
          <w:sz w:val="20"/>
          <w:szCs w:val="20"/>
        </w:rPr>
        <w:t>Francesco Lollobrigida</w:t>
      </w:r>
      <w:r w:rsidRPr="00E7311D">
        <w:rPr>
          <w:rFonts w:ascii="Verdana" w:hAnsi="Verdana" w:cs="Arial"/>
          <w:sz w:val="20"/>
          <w:szCs w:val="20"/>
        </w:rPr>
        <w:t xml:space="preserve"> al convegno inaugurale.</w:t>
      </w:r>
      <w:r>
        <w:rPr>
          <w:rFonts w:ascii="Verdana" w:hAnsi="Verdana" w:cs="Arial"/>
          <w:sz w:val="20"/>
          <w:szCs w:val="20"/>
        </w:rPr>
        <w:t xml:space="preserve"> I</w:t>
      </w:r>
      <w:r w:rsidRPr="00E7311D">
        <w:rPr>
          <w:rFonts w:ascii="Verdana" w:hAnsi="Verdana" w:cs="Arial"/>
          <w:iCs/>
          <w:sz w:val="20"/>
          <w:szCs w:val="20"/>
        </w:rPr>
        <w:t xml:space="preserve"> numeri del successo di quest’anno sono ancora più chiari se si guarda alla presenza d</w:t>
      </w:r>
      <w:r>
        <w:rPr>
          <w:rFonts w:ascii="Verdana" w:hAnsi="Verdana" w:cs="Arial"/>
          <w:iCs/>
          <w:sz w:val="20"/>
          <w:szCs w:val="20"/>
        </w:rPr>
        <w:t>i</w:t>
      </w:r>
      <w:r w:rsidRPr="00E7311D">
        <w:rPr>
          <w:rFonts w:ascii="Verdana" w:hAnsi="Verdana" w:cs="Arial"/>
          <w:iCs/>
          <w:sz w:val="20"/>
          <w:szCs w:val="20"/>
        </w:rPr>
        <w:t xml:space="preserve"> </w:t>
      </w:r>
      <w:r w:rsidRPr="00E7311D">
        <w:rPr>
          <w:rFonts w:ascii="Verdana" w:hAnsi="Verdana" w:cs="Arial"/>
          <w:bCs/>
          <w:sz w:val="20"/>
          <w:szCs w:val="20"/>
        </w:rPr>
        <w:t xml:space="preserve">120 espositori, il 35% proveniente dall’estero, quasi 7000 mq di area espositiva nei padiglioni 4 e 5, oltre 30 conferenze in programma </w:t>
      </w:r>
      <w:r w:rsidRPr="00E7311D">
        <w:rPr>
          <w:rFonts w:ascii="Verdana" w:hAnsi="Verdana" w:cs="Arial"/>
          <w:iCs/>
          <w:sz w:val="20"/>
          <w:szCs w:val="20"/>
        </w:rPr>
        <w:t xml:space="preserve">con 130 relatori provenienti da tutto il mondo. Una proposta fieristica </w:t>
      </w:r>
      <w:r w:rsidR="00260D01">
        <w:rPr>
          <w:rFonts w:ascii="Verdana" w:hAnsi="Verdana" w:cs="Arial"/>
          <w:iCs/>
          <w:sz w:val="20"/>
          <w:szCs w:val="20"/>
        </w:rPr>
        <w:t>vincente anche sotto l’aspetto qualitativo espresso dai prodotti e dalle tecnologie in mostra e dai contenuti scientifici presentati nei convegni.</w:t>
      </w:r>
      <w:r w:rsidRPr="00E7311D">
        <w:rPr>
          <w:rFonts w:ascii="Verdana" w:hAnsi="Verdana"/>
          <w:sz w:val="20"/>
          <w:szCs w:val="20"/>
        </w:rPr>
        <w:t xml:space="preserve"> “Il format che affianca stand espositivi e un programma di conferenze specializzate è vincente perché queste fiere guardano verso l’innovazione e la ricerca: due aspetti fondamentali per i settori protagonisti, fortemente proiettati al futuro, e sulle quali vogliamo investire </w:t>
      </w:r>
      <w:r w:rsidR="00260D01">
        <w:rPr>
          <w:rFonts w:ascii="Verdana" w:hAnsi="Verdana"/>
          <w:sz w:val="20"/>
          <w:szCs w:val="20"/>
        </w:rPr>
        <w:t>sempre più</w:t>
      </w:r>
      <w:r w:rsidRPr="00E7311D">
        <w:rPr>
          <w:rFonts w:ascii="Verdana" w:hAnsi="Verdana"/>
          <w:sz w:val="20"/>
          <w:szCs w:val="20"/>
        </w:rPr>
        <w:t>”. I progetti su cui puntare nel futuro sono numerosi, come spiega Renato Pujatti, presidente di Pordenone Fiere: “</w:t>
      </w:r>
      <w:r w:rsidRPr="00E7311D">
        <w:rPr>
          <w:rFonts w:ascii="Verdana" w:hAnsi="Verdana"/>
          <w:b/>
          <w:bCs/>
          <w:sz w:val="20"/>
          <w:szCs w:val="20"/>
        </w:rPr>
        <w:t>L’appuntamento per tutti è per il 14 e 15 febbraio</w:t>
      </w:r>
      <w:r w:rsidRPr="00E7311D">
        <w:rPr>
          <w:rFonts w:ascii="Verdana" w:hAnsi="Verdana"/>
          <w:sz w:val="20"/>
          <w:szCs w:val="20"/>
        </w:rPr>
        <w:t xml:space="preserve"> </w:t>
      </w:r>
      <w:r w:rsidR="00260D01">
        <w:rPr>
          <w:rFonts w:ascii="Verdana" w:hAnsi="Verdana"/>
          <w:sz w:val="20"/>
          <w:szCs w:val="20"/>
        </w:rPr>
        <w:t xml:space="preserve">2024 </w:t>
      </w:r>
      <w:r w:rsidRPr="00E7311D">
        <w:rPr>
          <w:rFonts w:ascii="Verdana" w:hAnsi="Verdana"/>
          <w:sz w:val="20"/>
          <w:szCs w:val="20"/>
        </w:rPr>
        <w:t xml:space="preserve">sempre a Pordenone”. </w:t>
      </w:r>
      <w:r w:rsidRPr="00E7311D">
        <w:rPr>
          <w:rFonts w:ascii="Verdana" w:hAnsi="Verdana"/>
          <w:bCs/>
          <w:sz w:val="20"/>
          <w:szCs w:val="20"/>
        </w:rPr>
        <w:t xml:space="preserve">Grande successo anche per la prima edizione di </w:t>
      </w:r>
      <w:r w:rsidRPr="00E7311D">
        <w:rPr>
          <w:rFonts w:ascii="Verdana" w:hAnsi="Verdana"/>
          <w:b/>
          <w:sz w:val="20"/>
          <w:szCs w:val="20"/>
        </w:rPr>
        <w:t>HORECA NEXT</w:t>
      </w:r>
      <w:r w:rsidRPr="00E7311D">
        <w:rPr>
          <w:rFonts w:ascii="Verdana" w:hAnsi="Verdana"/>
          <w:bCs/>
          <w:sz w:val="20"/>
          <w:szCs w:val="20"/>
        </w:rPr>
        <w:t xml:space="preserve">, </w:t>
      </w:r>
      <w:r w:rsidRPr="00E7311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Biennale delle tecnologie e forniture per l’ospitalità</w:t>
      </w:r>
      <w:r w:rsidRPr="00E7311D">
        <w:rPr>
          <w:rFonts w:ascii="Verdana" w:hAnsi="Verdana"/>
          <w:bCs/>
          <w:sz w:val="20"/>
          <w:szCs w:val="20"/>
        </w:rPr>
        <w:t xml:space="preserve"> che si è tenuta il 13, 14, 15 febbraio sempre alla Fiera di Pordenone e che ha registrato un’importante presenza di ristoratori, chef, albergatori e gestori di bar. Molto interesse per le novità in esposizione all’interno</w:t>
      </w:r>
      <w:r w:rsidRPr="00E7311D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di questa manifestazione che ha offerto agli operatori del settore HORECA una panoramica su prodotti, tecnologie innovative, tendenze del mercato e nuove opportunità di business. </w:t>
      </w:r>
      <w:r w:rsidRPr="00E7311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it-IT"/>
        </w:rPr>
        <w:t>Oltre 150 le aziende presenti in fiera</w:t>
      </w:r>
      <w:r w:rsidRPr="00E7311D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dai brand più noti fino alle piccole aziende ad alto tasso di innovazione e ai produttori agricoli di qualità. Tra le novità che più hanno colpito i visitatori</w:t>
      </w:r>
      <w:r w:rsidR="00260D01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ci sono</w:t>
      </w:r>
      <w:r w:rsidRPr="00E7311D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 sicuramente i software e le tecnologie dedicate a rendere più veloce ed efficiente la gestione del servizio ai tavoli anche con l’intervento di operatori robot per gestire la comanda e la consegna dei vassoi</w:t>
      </w:r>
      <w:r w:rsidR="00260D01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e i</w:t>
      </w:r>
      <w:r w:rsidRPr="00E7311D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portali on line dedicati alla promozione di prodotti di qualità anche tipici locali e strutture ricettive con offerte personalizzate per persone con esigenze specifiche: famiglie con bambini, persone anziane, persone con disabilità</w:t>
      </w:r>
      <w:r w:rsidR="00260D01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,</w:t>
      </w:r>
      <w:r w:rsidRPr="00E7311D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viaggiatori che portano con sé il proprio amico a quattro zampe e chi viaggia in solitaria.</w:t>
      </w:r>
      <w:r w:rsidR="00260D01"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 xml:space="preserve"> Horeca Next dà appuntamento al 2025.</w:t>
      </w:r>
    </w:p>
    <w:p w14:paraId="18B847B3" w14:textId="320752B9" w:rsidR="00260D01" w:rsidRPr="00260D01" w:rsidRDefault="00260D01" w:rsidP="00E7311D">
      <w:pPr>
        <w:spacing w:before="100" w:beforeAutospacing="1" w:after="200"/>
        <w:jc w:val="both"/>
        <w:rPr>
          <w:rFonts w:ascii="Verdana" w:hAnsi="Verdana" w:cs="Arial"/>
          <w:iCs/>
          <w:sz w:val="20"/>
          <w:szCs w:val="20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it-IT"/>
        </w:rPr>
        <w:t>Per la Fiera di Pordenone è già tempo di allestire le lussureggianti scenografie di Ortogiardino in programma dal 5 al 12 marzo.</w:t>
      </w:r>
    </w:p>
    <w:p w14:paraId="61354250" w14:textId="77777777" w:rsidR="00E7311D" w:rsidRPr="007C3476" w:rsidRDefault="00E7311D" w:rsidP="007C3476"/>
    <w:sectPr w:rsidR="00E7311D" w:rsidRPr="007C3476" w:rsidSect="009359A0">
      <w:headerReference w:type="default" r:id="rId7"/>
      <w:footerReference w:type="default" r:id="rId8"/>
      <w:pgSz w:w="11900" w:h="16840"/>
      <w:pgMar w:top="1418" w:right="1134" w:bottom="1418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0E5E3" w14:textId="77777777" w:rsidR="00F4780E" w:rsidRDefault="00F4780E" w:rsidP="00330176">
      <w:r>
        <w:separator/>
      </w:r>
    </w:p>
  </w:endnote>
  <w:endnote w:type="continuationSeparator" w:id="0">
    <w:p w14:paraId="45AFB0AB" w14:textId="77777777" w:rsidR="00F4780E" w:rsidRDefault="00F4780E" w:rsidP="0033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2440" w14:textId="77777777" w:rsidR="00330176" w:rsidRDefault="00330176" w:rsidP="00330176">
    <w:pPr>
      <w:pStyle w:val="Pidipagina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F9FEFA" wp14:editId="3C522950">
          <wp:simplePos x="0" y="0"/>
          <wp:positionH relativeFrom="column">
            <wp:posOffset>-720090</wp:posOffset>
          </wp:positionH>
          <wp:positionV relativeFrom="paragraph">
            <wp:posOffset>-2282774</wp:posOffset>
          </wp:positionV>
          <wp:extent cx="7542000" cy="2459072"/>
          <wp:effectExtent l="0" t="0" r="1905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2459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3426" w14:textId="77777777" w:rsidR="00F4780E" w:rsidRDefault="00F4780E" w:rsidP="00330176">
      <w:r>
        <w:separator/>
      </w:r>
    </w:p>
  </w:footnote>
  <w:footnote w:type="continuationSeparator" w:id="0">
    <w:p w14:paraId="488FC3CA" w14:textId="77777777" w:rsidR="00F4780E" w:rsidRDefault="00F4780E" w:rsidP="00330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ED4D0" w14:textId="77777777" w:rsidR="00330176" w:rsidRDefault="00330176" w:rsidP="00330176">
    <w:pPr>
      <w:pStyle w:val="Intestazione"/>
      <w:ind w:left="-1134"/>
    </w:pPr>
    <w:r>
      <w:rPr>
        <w:noProof/>
      </w:rPr>
      <w:drawing>
        <wp:inline distT="0" distB="0" distL="0" distR="0" wp14:anchorId="025E2A9F" wp14:editId="7195C6D6">
          <wp:extent cx="8388979" cy="90230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0548" cy="915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72D9"/>
    <w:multiLevelType w:val="hybridMultilevel"/>
    <w:tmpl w:val="B34C1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F5C75"/>
    <w:multiLevelType w:val="hybridMultilevel"/>
    <w:tmpl w:val="6206D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2349"/>
    <w:multiLevelType w:val="hybridMultilevel"/>
    <w:tmpl w:val="ABE85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032B"/>
    <w:multiLevelType w:val="hybridMultilevel"/>
    <w:tmpl w:val="90C42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F16D0"/>
    <w:multiLevelType w:val="hybridMultilevel"/>
    <w:tmpl w:val="CFEA0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140D"/>
    <w:multiLevelType w:val="hybridMultilevel"/>
    <w:tmpl w:val="C7908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4ADF"/>
    <w:multiLevelType w:val="hybridMultilevel"/>
    <w:tmpl w:val="D6CAC1BE"/>
    <w:lvl w:ilvl="0" w:tplc="2CE49A88">
      <w:start w:val="3"/>
      <w:numFmt w:val="bullet"/>
      <w:lvlText w:val="-"/>
      <w:lvlJc w:val="left"/>
      <w:pPr>
        <w:ind w:left="720" w:hanging="360"/>
      </w:pPr>
      <w:rPr>
        <w:rFonts w:ascii="Segoe UI Light" w:eastAsia="SimSun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41017"/>
    <w:multiLevelType w:val="hybridMultilevel"/>
    <w:tmpl w:val="DB8AD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B4887"/>
    <w:multiLevelType w:val="hybridMultilevel"/>
    <w:tmpl w:val="41BC1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F4066"/>
    <w:multiLevelType w:val="hybridMultilevel"/>
    <w:tmpl w:val="70840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933275">
    <w:abstractNumId w:val="4"/>
  </w:num>
  <w:num w:numId="2" w16cid:durableId="178469203">
    <w:abstractNumId w:val="8"/>
  </w:num>
  <w:num w:numId="3" w16cid:durableId="1861703627">
    <w:abstractNumId w:val="3"/>
  </w:num>
  <w:num w:numId="4" w16cid:durableId="1013000085">
    <w:abstractNumId w:val="2"/>
  </w:num>
  <w:num w:numId="5" w16cid:durableId="411658027">
    <w:abstractNumId w:val="1"/>
  </w:num>
  <w:num w:numId="6" w16cid:durableId="1651255120">
    <w:abstractNumId w:val="5"/>
  </w:num>
  <w:num w:numId="7" w16cid:durableId="2069911828">
    <w:abstractNumId w:val="7"/>
  </w:num>
  <w:num w:numId="8" w16cid:durableId="1297640397">
    <w:abstractNumId w:val="0"/>
  </w:num>
  <w:num w:numId="9" w16cid:durableId="1933276596">
    <w:abstractNumId w:val="6"/>
  </w:num>
  <w:num w:numId="10" w16cid:durableId="8019642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76"/>
    <w:rsid w:val="00095C43"/>
    <w:rsid w:val="000C5FA3"/>
    <w:rsid w:val="00110E51"/>
    <w:rsid w:val="001C691F"/>
    <w:rsid w:val="001F4569"/>
    <w:rsid w:val="00260D01"/>
    <w:rsid w:val="00303C58"/>
    <w:rsid w:val="00330176"/>
    <w:rsid w:val="00367F7F"/>
    <w:rsid w:val="003A1D76"/>
    <w:rsid w:val="003A3C4D"/>
    <w:rsid w:val="003D71A2"/>
    <w:rsid w:val="00532ACA"/>
    <w:rsid w:val="005470DE"/>
    <w:rsid w:val="00621BE5"/>
    <w:rsid w:val="006B6F86"/>
    <w:rsid w:val="00720DBD"/>
    <w:rsid w:val="007A3E7E"/>
    <w:rsid w:val="007C3476"/>
    <w:rsid w:val="007E566D"/>
    <w:rsid w:val="00862F01"/>
    <w:rsid w:val="009359A0"/>
    <w:rsid w:val="009B6BD3"/>
    <w:rsid w:val="009C559B"/>
    <w:rsid w:val="00A43F78"/>
    <w:rsid w:val="00AB3DC7"/>
    <w:rsid w:val="00AF7471"/>
    <w:rsid w:val="00B75ADE"/>
    <w:rsid w:val="00C61A4E"/>
    <w:rsid w:val="00CA6442"/>
    <w:rsid w:val="00CD1F40"/>
    <w:rsid w:val="00D3220E"/>
    <w:rsid w:val="00D84C54"/>
    <w:rsid w:val="00E15A53"/>
    <w:rsid w:val="00E7311D"/>
    <w:rsid w:val="00E74EEF"/>
    <w:rsid w:val="00F4780E"/>
    <w:rsid w:val="00F7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19F03"/>
  <w15:chartTrackingRefBased/>
  <w15:docId w15:val="{18A9D28C-797B-774F-9EEB-05CF9AB0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01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176"/>
  </w:style>
  <w:style w:type="paragraph" w:styleId="Pidipagina">
    <w:name w:val="footer"/>
    <w:basedOn w:val="Normale"/>
    <w:link w:val="PidipaginaCarattere"/>
    <w:uiPriority w:val="99"/>
    <w:unhideWhenUsed/>
    <w:rsid w:val="003301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176"/>
  </w:style>
  <w:style w:type="character" w:styleId="Collegamentoipertestuale">
    <w:name w:val="Hyperlink"/>
    <w:basedOn w:val="Carpredefinitoparagrafo"/>
    <w:uiPriority w:val="99"/>
    <w:semiHidden/>
    <w:unhideWhenUsed/>
    <w:rsid w:val="00303C58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AB3DC7"/>
    <w:pPr>
      <w:spacing w:after="200"/>
      <w:ind w:left="720" w:right="142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Macuz</dc:creator>
  <cp:keywords/>
  <dc:description/>
  <cp:lastModifiedBy>Simona Maldarelli</cp:lastModifiedBy>
  <cp:revision>3</cp:revision>
  <dcterms:created xsi:type="dcterms:W3CDTF">2023-02-16T15:21:00Z</dcterms:created>
  <dcterms:modified xsi:type="dcterms:W3CDTF">2023-02-16T15:21:00Z</dcterms:modified>
</cp:coreProperties>
</file>