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E84476" w:rsidRPr="00154325" w:rsidRDefault="00000000" w:rsidP="008A4912">
      <w:pPr>
        <w:rPr>
          <w:rStyle w:val="Nessuno"/>
          <w:rFonts w:ascii="Lato" w:eastAsia="Lato" w:hAnsi="Lato" w:cs="Lato"/>
          <w:b/>
          <w:bCs/>
          <w:i/>
          <w:iCs/>
          <w:sz w:val="26"/>
          <w:szCs w:val="26"/>
          <w:shd w:val="clear" w:color="auto" w:fill="FEFFFF"/>
          <w:lang w:val="en-GB"/>
        </w:rPr>
      </w:pPr>
      <w:r w:rsidRPr="00154325">
        <w:rPr>
          <w:rStyle w:val="Nessuno"/>
          <w:rFonts w:ascii="Lato" w:eastAsia="Lato" w:hAnsi="Lato" w:cs="Lato"/>
          <w:b/>
          <w:bCs/>
          <w:i/>
          <w:iCs/>
          <w:sz w:val="26"/>
          <w:szCs w:val="26"/>
          <w:shd w:val="clear" w:color="auto" w:fill="FEFFFF"/>
          <w:lang w:val="en-GB"/>
        </w:rPr>
        <w:t xml:space="preserve"> </w:t>
      </w:r>
    </w:p>
    <w:p w14:paraId="672A6659" w14:textId="77777777" w:rsidR="005A01A2" w:rsidRPr="00154325" w:rsidRDefault="005A01A2" w:rsidP="00913B76">
      <w:pPr>
        <w:jc w:val="center"/>
        <w:rPr>
          <w:rStyle w:val="Nessuno"/>
          <w:rFonts w:ascii="Lato" w:eastAsia="Lato" w:hAnsi="Lato" w:cs="Lato"/>
          <w:b/>
          <w:bCs/>
          <w:sz w:val="22"/>
          <w:szCs w:val="22"/>
          <w:shd w:val="clear" w:color="auto" w:fill="FEFFFF"/>
          <w:lang w:val="en-GB"/>
        </w:rPr>
      </w:pPr>
    </w:p>
    <w:p w14:paraId="0A37501D" w14:textId="513D3243" w:rsidR="00913B76" w:rsidRPr="00516CF5" w:rsidRDefault="00516CF5" w:rsidP="0BD0DBAE">
      <w:pPr>
        <w:jc w:val="center"/>
        <w:rPr>
          <w:b/>
          <w:bCs/>
          <w:sz w:val="32"/>
          <w:szCs w:val="32"/>
          <w:shd w:val="clear" w:color="auto" w:fill="FEFFFF"/>
          <w:lang w:val="en-GB"/>
        </w:rPr>
      </w:pPr>
      <w:r w:rsidRPr="00516CF5">
        <w:rPr>
          <w:b/>
          <w:bCs/>
          <w:sz w:val="32"/>
          <w:szCs w:val="32"/>
          <w:lang w:val="en-GB"/>
        </w:rPr>
        <w:t xml:space="preserve">The world of </w:t>
      </w:r>
      <w:r w:rsidR="120D484B" w:rsidRPr="00516CF5">
        <w:rPr>
          <w:b/>
          <w:bCs/>
          <w:sz w:val="32"/>
          <w:szCs w:val="32"/>
          <w:lang w:val="en-GB"/>
        </w:rPr>
        <w:t>aquac</w:t>
      </w:r>
      <w:r w:rsidRPr="00516CF5">
        <w:rPr>
          <w:b/>
          <w:bCs/>
          <w:sz w:val="32"/>
          <w:szCs w:val="32"/>
          <w:lang w:val="en-GB"/>
        </w:rPr>
        <w:t>u</w:t>
      </w:r>
      <w:r w:rsidR="120D484B" w:rsidRPr="00516CF5">
        <w:rPr>
          <w:b/>
          <w:bCs/>
          <w:sz w:val="32"/>
          <w:szCs w:val="32"/>
          <w:lang w:val="en-GB"/>
        </w:rPr>
        <w:t>ltur</w:t>
      </w:r>
      <w:r w:rsidRPr="00516CF5">
        <w:rPr>
          <w:b/>
          <w:bCs/>
          <w:sz w:val="32"/>
          <w:szCs w:val="32"/>
          <w:lang w:val="en-GB"/>
        </w:rPr>
        <w:t xml:space="preserve">e and the new </w:t>
      </w:r>
      <w:r w:rsidR="120D484B" w:rsidRPr="00516CF5">
        <w:rPr>
          <w:b/>
          <w:bCs/>
          <w:sz w:val="32"/>
          <w:szCs w:val="32"/>
          <w:lang w:val="en-GB"/>
        </w:rPr>
        <w:t>agric</w:t>
      </w:r>
      <w:r w:rsidRPr="00516CF5">
        <w:rPr>
          <w:b/>
          <w:bCs/>
          <w:sz w:val="32"/>
          <w:szCs w:val="32"/>
          <w:lang w:val="en-GB"/>
        </w:rPr>
        <w:t>u</w:t>
      </w:r>
      <w:r w:rsidR="120D484B" w:rsidRPr="00516CF5">
        <w:rPr>
          <w:b/>
          <w:bCs/>
          <w:sz w:val="32"/>
          <w:szCs w:val="32"/>
          <w:lang w:val="en-GB"/>
        </w:rPr>
        <w:t>ltur</w:t>
      </w:r>
      <w:r w:rsidRPr="00516CF5">
        <w:rPr>
          <w:b/>
          <w:bCs/>
          <w:sz w:val="32"/>
          <w:szCs w:val="32"/>
          <w:lang w:val="en-GB"/>
        </w:rPr>
        <w:t>e</w:t>
      </w:r>
      <w:r w:rsidR="120D484B" w:rsidRPr="00516CF5">
        <w:rPr>
          <w:b/>
          <w:bCs/>
          <w:sz w:val="32"/>
          <w:szCs w:val="32"/>
          <w:lang w:val="en-GB"/>
        </w:rPr>
        <w:t xml:space="preserve"> </w:t>
      </w:r>
      <w:r w:rsidRPr="00516CF5">
        <w:rPr>
          <w:b/>
          <w:bCs/>
          <w:sz w:val="32"/>
          <w:szCs w:val="32"/>
          <w:lang w:val="en-GB"/>
        </w:rPr>
        <w:t>has met in</w:t>
      </w:r>
      <w:r w:rsidR="120D484B" w:rsidRPr="00516CF5">
        <w:rPr>
          <w:b/>
          <w:bCs/>
          <w:sz w:val="32"/>
          <w:szCs w:val="32"/>
          <w:lang w:val="en-GB"/>
        </w:rPr>
        <w:t xml:space="preserve"> Pordenone: 25% </w:t>
      </w:r>
      <w:r w:rsidRPr="00516CF5">
        <w:rPr>
          <w:b/>
          <w:bCs/>
          <w:sz w:val="32"/>
          <w:szCs w:val="32"/>
          <w:lang w:val="en-GB"/>
        </w:rPr>
        <w:t xml:space="preserve">more of </w:t>
      </w:r>
      <w:r>
        <w:rPr>
          <w:b/>
          <w:bCs/>
          <w:sz w:val="32"/>
          <w:szCs w:val="32"/>
          <w:lang w:val="en-GB"/>
        </w:rPr>
        <w:t xml:space="preserve">foreign </w:t>
      </w:r>
      <w:r w:rsidR="120D484B" w:rsidRPr="00516CF5">
        <w:rPr>
          <w:b/>
          <w:bCs/>
          <w:sz w:val="32"/>
          <w:szCs w:val="32"/>
          <w:lang w:val="en-GB"/>
        </w:rPr>
        <w:t>visitor</w:t>
      </w:r>
      <w:r>
        <w:rPr>
          <w:b/>
          <w:bCs/>
          <w:sz w:val="32"/>
          <w:szCs w:val="32"/>
          <w:lang w:val="en-GB"/>
        </w:rPr>
        <w:t>s</w:t>
      </w:r>
      <w:r w:rsidR="120D484B" w:rsidRPr="00516CF5">
        <w:rPr>
          <w:b/>
          <w:bCs/>
          <w:sz w:val="32"/>
          <w:szCs w:val="32"/>
          <w:lang w:val="en-GB"/>
        </w:rPr>
        <w:t xml:space="preserve">, </w:t>
      </w:r>
      <w:r w:rsidR="1AEA18AB" w:rsidRPr="00516CF5">
        <w:rPr>
          <w:b/>
          <w:bCs/>
          <w:sz w:val="32"/>
          <w:szCs w:val="32"/>
          <w:lang w:val="en-GB"/>
        </w:rPr>
        <w:t xml:space="preserve">30% </w:t>
      </w:r>
      <w:r>
        <w:rPr>
          <w:b/>
          <w:bCs/>
          <w:sz w:val="32"/>
          <w:szCs w:val="32"/>
          <w:lang w:val="en-GB"/>
        </w:rPr>
        <w:t>more of foreign exhibitors</w:t>
      </w:r>
    </w:p>
    <w:p w14:paraId="23DBCB70" w14:textId="29E59123" w:rsidR="0BD0DBAE" w:rsidRPr="00516CF5" w:rsidRDefault="0BD0DBAE" w:rsidP="0BD0DBAE">
      <w:pPr>
        <w:jc w:val="center"/>
        <w:rPr>
          <w:b/>
          <w:bCs/>
          <w:sz w:val="32"/>
          <w:szCs w:val="32"/>
          <w:lang w:val="en-GB"/>
        </w:rPr>
      </w:pPr>
    </w:p>
    <w:p w14:paraId="4FA8172F" w14:textId="12AD8B83" w:rsidR="00516CF5" w:rsidRDefault="00516CF5" w:rsidP="0BD0DBAE">
      <w:pPr>
        <w:jc w:val="both"/>
        <w:rPr>
          <w:rStyle w:val="Nessuno"/>
          <w:rFonts w:eastAsia="Lato" w:cs="Calibri"/>
          <w:i/>
          <w:iCs/>
          <w:shd w:val="clear" w:color="auto" w:fill="FEFFFF"/>
          <w:lang w:val="en-GB"/>
        </w:rPr>
      </w:pPr>
      <w:r w:rsidRPr="00516CF5">
        <w:rPr>
          <w:rStyle w:val="Nessuno"/>
          <w:rFonts w:eastAsia="Lato" w:cs="Calibri"/>
          <w:i/>
          <w:iCs/>
          <w:shd w:val="clear" w:color="auto" w:fill="FEFFFF"/>
          <w:lang w:val="en-GB"/>
        </w:rPr>
        <w:t>Total visits were 2400, with a 30% increase compared to the 2024 edition; total exhibitors  we</w:t>
      </w:r>
      <w:r>
        <w:rPr>
          <w:rStyle w:val="Nessuno"/>
          <w:rFonts w:eastAsia="Lato" w:cs="Calibri"/>
          <w:i/>
          <w:iCs/>
          <w:shd w:val="clear" w:color="auto" w:fill="FEFFFF"/>
          <w:lang w:val="en-GB"/>
        </w:rPr>
        <w:t xml:space="preserve">re </w:t>
      </w:r>
      <w:r w:rsidRPr="00516CF5">
        <w:rPr>
          <w:rStyle w:val="Nessuno"/>
          <w:rFonts w:eastAsia="Lato" w:cs="Calibri"/>
          <w:i/>
          <w:iCs/>
          <w:shd w:val="clear" w:color="auto" w:fill="FEFFFF"/>
          <w:lang w:val="en-GB"/>
        </w:rPr>
        <w:t>110</w:t>
      </w:r>
      <w:r>
        <w:rPr>
          <w:rStyle w:val="Nessuno"/>
          <w:rFonts w:eastAsia="Lato" w:cs="Calibri"/>
          <w:i/>
          <w:iCs/>
          <w:shd w:val="clear" w:color="auto" w:fill="FEFFFF"/>
          <w:lang w:val="en-GB"/>
        </w:rPr>
        <w:t>.</w:t>
      </w:r>
    </w:p>
    <w:p w14:paraId="42D17064" w14:textId="77777777" w:rsidR="00516CF5" w:rsidRDefault="00516CF5" w:rsidP="0BD0DBAE">
      <w:pPr>
        <w:jc w:val="both"/>
        <w:rPr>
          <w:rStyle w:val="Nessuno"/>
          <w:rFonts w:eastAsia="Lato" w:cs="Calibri"/>
          <w:i/>
          <w:iCs/>
          <w:shd w:val="clear" w:color="auto" w:fill="FEFFFF"/>
          <w:lang w:val="en-GB"/>
        </w:rPr>
      </w:pPr>
    </w:p>
    <w:p w14:paraId="214FE772" w14:textId="4DA7DAEF" w:rsidR="00516CF5" w:rsidRPr="00154325" w:rsidRDefault="00516CF5" w:rsidP="00516CF5">
      <w:pPr>
        <w:jc w:val="both"/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</w:pPr>
      <w:r w:rsidRPr="00154325">
        <w:rPr>
          <w:rStyle w:val="Nessuno"/>
          <w:rFonts w:eastAsia="Lato" w:cs="Calibri"/>
          <w:b/>
          <w:bCs/>
          <w:sz w:val="20"/>
          <w:szCs w:val="20"/>
          <w:shd w:val="clear" w:color="auto" w:fill="FEFFFF"/>
          <w:lang w:val="en-GB"/>
        </w:rPr>
        <w:t>Pordenone, 12 March 2025</w:t>
      </w:r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 – One month after the closing of the 8th edition of </w:t>
      </w:r>
      <w:proofErr w:type="spellStart"/>
      <w:r w:rsidRPr="00154325">
        <w:rPr>
          <w:rStyle w:val="Nessuno"/>
          <w:rFonts w:eastAsia="Lato" w:cs="Calibri"/>
          <w:b/>
          <w:bCs/>
          <w:sz w:val="20"/>
          <w:szCs w:val="20"/>
          <w:shd w:val="clear" w:color="auto" w:fill="FEFFFF"/>
          <w:lang w:val="en-GB"/>
        </w:rPr>
        <w:t>AquaFarm</w:t>
      </w:r>
      <w:proofErr w:type="spellEnd"/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, which marked the return of the unified event </w:t>
      </w:r>
      <w:r w:rsidR="00154325"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alongside </w:t>
      </w:r>
      <w:proofErr w:type="spellStart"/>
      <w:r w:rsidRPr="00154325">
        <w:rPr>
          <w:rStyle w:val="Nessuno"/>
          <w:rFonts w:eastAsia="Lato" w:cs="Calibri"/>
          <w:b/>
          <w:bCs/>
          <w:sz w:val="20"/>
          <w:szCs w:val="20"/>
          <w:shd w:val="clear" w:color="auto" w:fill="FEFFFF"/>
          <w:lang w:val="en-GB"/>
        </w:rPr>
        <w:t>NovelFarm</w:t>
      </w:r>
      <w:proofErr w:type="spellEnd"/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 and </w:t>
      </w:r>
      <w:proofErr w:type="spellStart"/>
      <w:r w:rsidRPr="00154325">
        <w:rPr>
          <w:rStyle w:val="Nessuno"/>
          <w:rFonts w:eastAsia="Lato" w:cs="Calibri"/>
          <w:b/>
          <w:bCs/>
          <w:sz w:val="20"/>
          <w:szCs w:val="20"/>
          <w:shd w:val="clear" w:color="auto" w:fill="FEFFFF"/>
          <w:lang w:val="en-GB"/>
        </w:rPr>
        <w:t>AlgaeFarm</w:t>
      </w:r>
      <w:proofErr w:type="spellEnd"/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 - respectively now in their 6th and 4th editions - the official data on the presence of potential buyers in the Pordenone exhibition centre are available. The 30% growth compared to the corresponding numbers of last year is confirmed, for a total of 2,400 visit</w:t>
      </w:r>
      <w:r w:rsid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>or</w:t>
      </w:r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s. A quarter came from abroad, led by Croatia, </w:t>
      </w:r>
      <w:r w:rsid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>where</w:t>
      </w:r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 16.6% of potential buyers arrived</w:t>
      </w:r>
      <w:r w:rsid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 from</w:t>
      </w:r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, confirming the event </w:t>
      </w:r>
      <w:r w:rsid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>i</w:t>
      </w:r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s a point of reference for Balkan Europe. The data from Brazil is interesting, thanks to a delegation organised in collaboration with </w:t>
      </w:r>
      <w:proofErr w:type="spellStart"/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>Agenzia</w:t>
      </w:r>
      <w:proofErr w:type="spellEnd"/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 ICE.</w:t>
      </w:r>
    </w:p>
    <w:p w14:paraId="116EB64A" w14:textId="77777777" w:rsidR="00516CF5" w:rsidRPr="00154325" w:rsidRDefault="00516CF5" w:rsidP="00516CF5">
      <w:pPr>
        <w:jc w:val="both"/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</w:pPr>
    </w:p>
    <w:p w14:paraId="3920F34E" w14:textId="5D80294B" w:rsidR="00516CF5" w:rsidRPr="00154325" w:rsidRDefault="00516CF5" w:rsidP="00516CF5">
      <w:pPr>
        <w:jc w:val="both"/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</w:pPr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On the exhibitor front, 110 in total, including direct exhibitors, co-exhibitors and represented brands, </w:t>
      </w:r>
      <w:r w:rsid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of which </w:t>
      </w:r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>almost a third were foreign, with France in the lead as the country of origin, surprisingly followed by the United States and then by Spain, Norway and Denmark</w:t>
      </w:r>
      <w:r w:rsid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 xml:space="preserve"> with the same numbers of presences</w:t>
      </w:r>
      <w:r w:rsidRPr="00154325">
        <w:rPr>
          <w:rStyle w:val="Nessuno"/>
          <w:rFonts w:eastAsia="Lato" w:cs="Calibri"/>
          <w:sz w:val="20"/>
          <w:szCs w:val="20"/>
          <w:shd w:val="clear" w:color="auto" w:fill="FEFFFF"/>
          <w:lang w:val="en-GB"/>
        </w:rPr>
        <w:t>.</w:t>
      </w:r>
    </w:p>
    <w:p w14:paraId="497DE8A6" w14:textId="77777777" w:rsidR="00516CF5" w:rsidRDefault="00516CF5" w:rsidP="0BD0DBAE">
      <w:pPr>
        <w:jc w:val="both"/>
        <w:rPr>
          <w:rStyle w:val="Nessuno"/>
          <w:rFonts w:eastAsia="Lato" w:cs="Calibri"/>
          <w:sz w:val="20"/>
          <w:szCs w:val="20"/>
        </w:rPr>
      </w:pPr>
    </w:p>
    <w:p w14:paraId="4B580027" w14:textId="485DD69E" w:rsidR="00516CF5" w:rsidRPr="00516CF5" w:rsidRDefault="00516CF5" w:rsidP="00516CF5">
      <w:pPr>
        <w:jc w:val="both"/>
        <w:rPr>
          <w:rStyle w:val="Nessuno"/>
          <w:rFonts w:eastAsia="Lato" w:cs="Calibri"/>
          <w:sz w:val="20"/>
          <w:szCs w:val="20"/>
          <w:lang w:val="en-GB"/>
        </w:rPr>
      </w:pPr>
      <w:r w:rsidRPr="00516CF5">
        <w:rPr>
          <w:rStyle w:val="Nessuno"/>
          <w:rFonts w:eastAsia="Lato" w:cs="Calibri"/>
          <w:sz w:val="20"/>
          <w:szCs w:val="20"/>
          <w:lang w:val="en-GB"/>
        </w:rPr>
        <w:t>A fundamental role in the success of the 2025 edition was played by the conference program</w:t>
      </w:r>
      <w:r w:rsidR="00154325">
        <w:rPr>
          <w:rStyle w:val="Nessuno"/>
          <w:rFonts w:eastAsia="Lato" w:cs="Calibri"/>
          <w:sz w:val="20"/>
          <w:szCs w:val="20"/>
          <w:lang w:val="en-GB"/>
        </w:rPr>
        <w:t xml:space="preserve">me, </w:t>
      </w:r>
      <w:r w:rsidRPr="00516CF5">
        <w:rPr>
          <w:rStyle w:val="Nessuno"/>
          <w:rFonts w:eastAsia="Lato" w:cs="Calibri"/>
          <w:sz w:val="20"/>
          <w:szCs w:val="20"/>
          <w:lang w:val="en-GB"/>
        </w:rPr>
        <w:t>which, with 21 sessions and over 150</w:t>
      </w:r>
      <w:r w:rsidR="00154325">
        <w:rPr>
          <w:rStyle w:val="Nessuno"/>
          <w:rFonts w:eastAsia="Lato" w:cs="Calibri"/>
          <w:sz w:val="20"/>
          <w:szCs w:val="20"/>
          <w:lang w:val="en-GB"/>
        </w:rPr>
        <w:t xml:space="preserve"> events</w:t>
      </w:r>
      <w:r w:rsidRPr="00516CF5">
        <w:rPr>
          <w:rStyle w:val="Nessuno"/>
          <w:rFonts w:eastAsia="Lato" w:cs="Calibri"/>
          <w:sz w:val="20"/>
          <w:szCs w:val="20"/>
          <w:lang w:val="en-GB"/>
        </w:rPr>
        <w:t>, covered all the most relevant fields of the three sectors: aquaculture, vertical farming and algae farming.</w:t>
      </w:r>
    </w:p>
    <w:p w14:paraId="0A0AAB44" w14:textId="04F226FD" w:rsidR="00516CF5" w:rsidRPr="00516CF5" w:rsidRDefault="00516CF5" w:rsidP="00516CF5">
      <w:pPr>
        <w:jc w:val="both"/>
        <w:rPr>
          <w:rStyle w:val="Nessuno"/>
          <w:rFonts w:eastAsia="Lato" w:cs="Calibri"/>
          <w:sz w:val="20"/>
          <w:szCs w:val="20"/>
          <w:lang w:val="en-GB"/>
        </w:rPr>
      </w:pPr>
      <w:r w:rsidRPr="00516CF5">
        <w:rPr>
          <w:rStyle w:val="Nessuno"/>
          <w:rFonts w:eastAsia="Lato" w:cs="Calibri"/>
          <w:sz w:val="20"/>
          <w:szCs w:val="20"/>
          <w:lang w:val="en-GB"/>
        </w:rPr>
        <w:t xml:space="preserve">Among the moments </w:t>
      </w:r>
      <w:r w:rsidR="00154325">
        <w:rPr>
          <w:rStyle w:val="Nessuno"/>
          <w:rFonts w:eastAsia="Lato" w:cs="Calibri"/>
          <w:sz w:val="20"/>
          <w:szCs w:val="20"/>
          <w:lang w:val="en-GB"/>
        </w:rPr>
        <w:t xml:space="preserve">that created the </w:t>
      </w:r>
      <w:r w:rsidRPr="00516CF5">
        <w:rPr>
          <w:rStyle w:val="Nessuno"/>
          <w:rFonts w:eastAsia="Lato" w:cs="Calibri"/>
          <w:sz w:val="20"/>
          <w:szCs w:val="20"/>
          <w:lang w:val="en-GB"/>
        </w:rPr>
        <w:t xml:space="preserve">greatest interest </w:t>
      </w:r>
      <w:r w:rsidR="00154325">
        <w:rPr>
          <w:rStyle w:val="Nessuno"/>
          <w:rFonts w:eastAsia="Lato" w:cs="Calibri"/>
          <w:sz w:val="20"/>
          <w:szCs w:val="20"/>
          <w:lang w:val="en-GB"/>
        </w:rPr>
        <w:t>in</w:t>
      </w:r>
      <w:r w:rsidRPr="00516CF5">
        <w:rPr>
          <w:rStyle w:val="Nessuno"/>
          <w:rFonts w:eastAsia="Lato" w:cs="Calibri"/>
          <w:sz w:val="20"/>
          <w:szCs w:val="20"/>
          <w:lang w:val="en-GB"/>
        </w:rPr>
        <w:t xml:space="preserve"> </w:t>
      </w:r>
      <w:proofErr w:type="spellStart"/>
      <w:r w:rsidRPr="00516CF5">
        <w:rPr>
          <w:rStyle w:val="Nessuno"/>
          <w:rFonts w:eastAsia="Lato" w:cs="Calibri"/>
          <w:sz w:val="20"/>
          <w:szCs w:val="20"/>
          <w:lang w:val="en-GB"/>
        </w:rPr>
        <w:t>AquaFarm</w:t>
      </w:r>
      <w:proofErr w:type="spellEnd"/>
      <w:r w:rsidRPr="00516CF5">
        <w:rPr>
          <w:rStyle w:val="Nessuno"/>
          <w:rFonts w:eastAsia="Lato" w:cs="Calibri"/>
          <w:sz w:val="20"/>
          <w:szCs w:val="20"/>
          <w:lang w:val="en-GB"/>
        </w:rPr>
        <w:t>, the sessions dedicated to sustainability in aquaculture, energy self-sufficiency and innovative solutions for the decarbonization of the sector stood out. Also worth mentioning are the sessions “</w:t>
      </w:r>
      <w:r w:rsidRPr="00154325">
        <w:rPr>
          <w:rStyle w:val="Nessuno"/>
          <w:rFonts w:eastAsia="Lato" w:cs="Calibri"/>
          <w:b/>
          <w:bCs/>
          <w:sz w:val="20"/>
          <w:szCs w:val="20"/>
          <w:lang w:val="en-GB"/>
        </w:rPr>
        <w:t>Aquaculture and fishing products with added value</w:t>
      </w:r>
      <w:r w:rsidRPr="00516CF5">
        <w:rPr>
          <w:rStyle w:val="Nessuno"/>
          <w:rFonts w:eastAsia="Lato" w:cs="Calibri"/>
          <w:sz w:val="20"/>
          <w:szCs w:val="20"/>
          <w:lang w:val="en-GB"/>
        </w:rPr>
        <w:t>” featuring the leaders of the fishing supply chain, and the “</w:t>
      </w:r>
      <w:r w:rsidRPr="00154325">
        <w:rPr>
          <w:rStyle w:val="Nessuno"/>
          <w:rFonts w:eastAsia="Lato" w:cs="Calibri"/>
          <w:b/>
          <w:bCs/>
          <w:sz w:val="20"/>
          <w:szCs w:val="20"/>
          <w:lang w:val="en-GB"/>
        </w:rPr>
        <w:t>EU – FEAMPA</w:t>
      </w:r>
      <w:r w:rsidRPr="00516CF5">
        <w:rPr>
          <w:rStyle w:val="Nessuno"/>
          <w:rFonts w:eastAsia="Lato" w:cs="Calibri"/>
          <w:sz w:val="20"/>
          <w:szCs w:val="20"/>
          <w:lang w:val="en-GB"/>
        </w:rPr>
        <w:t>” session on European innovations impacting the sector.</w:t>
      </w:r>
    </w:p>
    <w:p w14:paraId="56591409" w14:textId="614397CB" w:rsidR="00516CF5" w:rsidRPr="00516CF5" w:rsidRDefault="00516CF5" w:rsidP="00516CF5">
      <w:pPr>
        <w:jc w:val="both"/>
        <w:rPr>
          <w:rStyle w:val="Nessuno"/>
          <w:rFonts w:eastAsia="Lato" w:cs="Calibri"/>
          <w:sz w:val="20"/>
          <w:szCs w:val="20"/>
          <w:lang w:val="en-GB"/>
        </w:rPr>
      </w:pPr>
      <w:r w:rsidRPr="00516CF5">
        <w:rPr>
          <w:rStyle w:val="Nessuno"/>
          <w:rFonts w:eastAsia="Lato" w:cs="Calibri"/>
          <w:sz w:val="20"/>
          <w:szCs w:val="20"/>
          <w:lang w:val="en-GB"/>
        </w:rPr>
        <w:t xml:space="preserve">In </w:t>
      </w:r>
      <w:proofErr w:type="spellStart"/>
      <w:r w:rsidRPr="00516CF5">
        <w:rPr>
          <w:rStyle w:val="Nessuno"/>
          <w:rFonts w:eastAsia="Lato" w:cs="Calibri"/>
          <w:sz w:val="20"/>
          <w:szCs w:val="20"/>
          <w:lang w:val="en-GB"/>
        </w:rPr>
        <w:t>NovelFarm</w:t>
      </w:r>
      <w:proofErr w:type="spellEnd"/>
      <w:r w:rsidRPr="00516CF5">
        <w:rPr>
          <w:rStyle w:val="Nessuno"/>
          <w:rFonts w:eastAsia="Lato" w:cs="Calibri"/>
          <w:sz w:val="20"/>
          <w:szCs w:val="20"/>
          <w:lang w:val="en-GB"/>
        </w:rPr>
        <w:t>, the opening theme “</w:t>
      </w:r>
      <w:r w:rsidRPr="00154325">
        <w:rPr>
          <w:rStyle w:val="Nessuno"/>
          <w:rFonts w:eastAsia="Lato" w:cs="Calibri"/>
          <w:b/>
          <w:bCs/>
          <w:sz w:val="20"/>
          <w:szCs w:val="20"/>
          <w:lang w:val="en-GB"/>
        </w:rPr>
        <w:t>Indoor farming in Italy: technological greenhouses, vertical farms, urban agriculture between regulations, investments and the market</w:t>
      </w:r>
      <w:r w:rsidRPr="00516CF5">
        <w:rPr>
          <w:rStyle w:val="Nessuno"/>
          <w:rFonts w:eastAsia="Lato" w:cs="Calibri"/>
          <w:sz w:val="20"/>
          <w:szCs w:val="20"/>
          <w:lang w:val="en-GB"/>
        </w:rPr>
        <w:t xml:space="preserve">” attracted the public, </w:t>
      </w:r>
      <w:r w:rsidR="00154325">
        <w:rPr>
          <w:rStyle w:val="Nessuno"/>
          <w:rFonts w:eastAsia="Lato" w:cs="Calibri"/>
          <w:sz w:val="20"/>
          <w:szCs w:val="20"/>
          <w:lang w:val="en-GB"/>
        </w:rPr>
        <w:t>where</w:t>
      </w:r>
      <w:r w:rsidRPr="00516CF5">
        <w:rPr>
          <w:rStyle w:val="Nessuno"/>
          <w:rFonts w:eastAsia="Lato" w:cs="Calibri"/>
          <w:sz w:val="20"/>
          <w:szCs w:val="20"/>
          <w:lang w:val="en-GB"/>
        </w:rPr>
        <w:t xml:space="preserve"> </w:t>
      </w:r>
      <w:r w:rsidR="00154325">
        <w:rPr>
          <w:rStyle w:val="Nessuno"/>
          <w:rFonts w:eastAsia="Lato" w:cs="Calibri"/>
          <w:sz w:val="20"/>
          <w:szCs w:val="20"/>
          <w:lang w:val="en-GB"/>
        </w:rPr>
        <w:t>operators</w:t>
      </w:r>
      <w:r w:rsidRPr="00516CF5">
        <w:rPr>
          <w:rStyle w:val="Nessuno"/>
          <w:rFonts w:eastAsia="Lato" w:cs="Calibri"/>
          <w:sz w:val="20"/>
          <w:szCs w:val="20"/>
          <w:lang w:val="en-GB"/>
        </w:rPr>
        <w:t>, consultants and representatives of the academic world took turns to discuss the evolution of controlled agriculture in an urban environment.</w:t>
      </w:r>
    </w:p>
    <w:p w14:paraId="54B39283" w14:textId="32629049" w:rsidR="00516CF5" w:rsidRPr="00516CF5" w:rsidRDefault="00516CF5" w:rsidP="00516CF5">
      <w:pPr>
        <w:jc w:val="both"/>
        <w:rPr>
          <w:rStyle w:val="Nessuno"/>
          <w:rFonts w:eastAsia="Lato" w:cs="Calibri"/>
          <w:sz w:val="20"/>
          <w:szCs w:val="20"/>
          <w:lang w:val="en-GB"/>
        </w:rPr>
      </w:pPr>
      <w:r w:rsidRPr="00516CF5">
        <w:rPr>
          <w:rStyle w:val="Nessuno"/>
          <w:rFonts w:eastAsia="Lato" w:cs="Calibri"/>
          <w:sz w:val="20"/>
          <w:szCs w:val="20"/>
          <w:lang w:val="en-GB"/>
        </w:rPr>
        <w:t xml:space="preserve">Another moment of great interest was the </w:t>
      </w:r>
      <w:r w:rsidRPr="00154325">
        <w:rPr>
          <w:rStyle w:val="Nessuno"/>
          <w:rFonts w:eastAsia="Lato" w:cs="Calibri"/>
          <w:b/>
          <w:bCs/>
          <w:sz w:val="20"/>
          <w:szCs w:val="20"/>
          <w:lang w:val="en-GB"/>
        </w:rPr>
        <w:t xml:space="preserve">closing round table of </w:t>
      </w:r>
      <w:proofErr w:type="spellStart"/>
      <w:r w:rsidRPr="00154325">
        <w:rPr>
          <w:rStyle w:val="Nessuno"/>
          <w:rFonts w:eastAsia="Lato" w:cs="Calibri"/>
          <w:b/>
          <w:bCs/>
          <w:sz w:val="20"/>
          <w:szCs w:val="20"/>
          <w:lang w:val="en-GB"/>
        </w:rPr>
        <w:t>AlgaeFarm</w:t>
      </w:r>
      <w:proofErr w:type="spellEnd"/>
      <w:r w:rsidRPr="00154325">
        <w:rPr>
          <w:rStyle w:val="Nessuno"/>
          <w:rFonts w:eastAsia="Lato" w:cs="Calibri"/>
          <w:b/>
          <w:bCs/>
          <w:sz w:val="20"/>
          <w:szCs w:val="20"/>
          <w:lang w:val="en-GB"/>
        </w:rPr>
        <w:t xml:space="preserve"> on the future of the algae supply chain</w:t>
      </w:r>
      <w:r w:rsidRPr="00516CF5">
        <w:rPr>
          <w:rStyle w:val="Nessuno"/>
          <w:rFonts w:eastAsia="Lato" w:cs="Calibri"/>
          <w:sz w:val="20"/>
          <w:szCs w:val="20"/>
          <w:lang w:val="en-GB"/>
        </w:rPr>
        <w:t>, which explored the opportunities and challenges for the sector, from the food to the pharmaceutical field.</w:t>
      </w:r>
    </w:p>
    <w:p w14:paraId="01BE473F" w14:textId="77777777" w:rsidR="0BD0DBAE" w:rsidRPr="00516CF5" w:rsidRDefault="0BD0DBAE" w:rsidP="0BD0DBAE">
      <w:pPr>
        <w:jc w:val="both"/>
        <w:rPr>
          <w:rStyle w:val="Nessuno"/>
          <w:rFonts w:eastAsia="Lato" w:cs="Calibri"/>
          <w:sz w:val="20"/>
          <w:szCs w:val="20"/>
          <w:lang w:val="en-GB"/>
        </w:rPr>
      </w:pPr>
    </w:p>
    <w:p w14:paraId="6F1E2C57" w14:textId="792329A6" w:rsidR="00516CF5" w:rsidRPr="00516CF5" w:rsidRDefault="00516CF5" w:rsidP="00516CF5">
      <w:pPr>
        <w:jc w:val="both"/>
        <w:rPr>
          <w:sz w:val="20"/>
          <w:szCs w:val="20"/>
          <w:lang w:val="en-GB"/>
        </w:rPr>
      </w:pPr>
      <w:proofErr w:type="spellStart"/>
      <w:r w:rsidRPr="00516CF5">
        <w:rPr>
          <w:sz w:val="20"/>
          <w:szCs w:val="20"/>
          <w:lang w:val="en-GB"/>
        </w:rPr>
        <w:t>AquaFarm</w:t>
      </w:r>
      <w:proofErr w:type="spellEnd"/>
      <w:r w:rsidRPr="00516CF5">
        <w:rPr>
          <w:sz w:val="20"/>
          <w:szCs w:val="20"/>
          <w:lang w:val="en-GB"/>
        </w:rPr>
        <w:t xml:space="preserve">, </w:t>
      </w:r>
      <w:proofErr w:type="spellStart"/>
      <w:r w:rsidRPr="00516CF5">
        <w:rPr>
          <w:sz w:val="20"/>
          <w:szCs w:val="20"/>
          <w:lang w:val="en-GB"/>
        </w:rPr>
        <w:t>NovelFarm</w:t>
      </w:r>
      <w:proofErr w:type="spellEnd"/>
      <w:r w:rsidRPr="00516CF5">
        <w:rPr>
          <w:sz w:val="20"/>
          <w:szCs w:val="20"/>
          <w:lang w:val="en-GB"/>
        </w:rPr>
        <w:t xml:space="preserve"> and </w:t>
      </w:r>
      <w:proofErr w:type="spellStart"/>
      <w:r w:rsidRPr="00516CF5">
        <w:rPr>
          <w:sz w:val="20"/>
          <w:szCs w:val="20"/>
          <w:lang w:val="en-GB"/>
        </w:rPr>
        <w:t>AlgaeFarm</w:t>
      </w:r>
      <w:proofErr w:type="spellEnd"/>
      <w:r w:rsidRPr="00516CF5">
        <w:rPr>
          <w:sz w:val="20"/>
          <w:szCs w:val="20"/>
          <w:lang w:val="en-GB"/>
        </w:rPr>
        <w:t xml:space="preserve"> are therefore confirmed as an essential event for the sector, capable of attracting more and more operators and the public</w:t>
      </w:r>
      <w:r w:rsidR="00154325">
        <w:rPr>
          <w:sz w:val="20"/>
          <w:szCs w:val="20"/>
          <w:lang w:val="en-GB"/>
        </w:rPr>
        <w:t>,</w:t>
      </w:r>
      <w:r w:rsidRPr="00516CF5">
        <w:rPr>
          <w:sz w:val="20"/>
          <w:szCs w:val="20"/>
          <w:lang w:val="en-GB"/>
        </w:rPr>
        <w:t xml:space="preserve"> thanks to a format that combines exhibition, high-level professional updating and business opportunities.</w:t>
      </w:r>
    </w:p>
    <w:p w14:paraId="7397FDCA" w14:textId="77777777" w:rsidR="00516CF5" w:rsidRPr="00516CF5" w:rsidRDefault="00516CF5" w:rsidP="00516CF5">
      <w:pPr>
        <w:jc w:val="both"/>
        <w:rPr>
          <w:sz w:val="20"/>
          <w:szCs w:val="20"/>
          <w:lang w:val="en-GB"/>
        </w:rPr>
      </w:pPr>
      <w:r w:rsidRPr="00516CF5">
        <w:rPr>
          <w:sz w:val="20"/>
          <w:szCs w:val="20"/>
          <w:lang w:val="en-GB"/>
        </w:rPr>
        <w:t>The presentations and the proceedings of the conference sessions will be published in a few days on the official website of the event.</w:t>
      </w:r>
    </w:p>
    <w:p w14:paraId="253E7C8B" w14:textId="28F015B6" w:rsidR="00516CF5" w:rsidRPr="00516CF5" w:rsidRDefault="00516CF5" w:rsidP="00516CF5">
      <w:pPr>
        <w:jc w:val="both"/>
        <w:rPr>
          <w:sz w:val="20"/>
          <w:szCs w:val="20"/>
          <w:lang w:val="en-GB"/>
        </w:rPr>
      </w:pPr>
      <w:r w:rsidRPr="00516CF5">
        <w:rPr>
          <w:sz w:val="20"/>
          <w:szCs w:val="20"/>
          <w:lang w:val="en-GB"/>
        </w:rPr>
        <w:t xml:space="preserve">The appointment is for 18 and 19 February 2026 for the 9th edition of </w:t>
      </w:r>
      <w:proofErr w:type="spellStart"/>
      <w:r w:rsidRPr="00516CF5">
        <w:rPr>
          <w:sz w:val="20"/>
          <w:szCs w:val="20"/>
          <w:lang w:val="en-GB"/>
        </w:rPr>
        <w:t>AquaFarm</w:t>
      </w:r>
      <w:proofErr w:type="spellEnd"/>
      <w:r w:rsidRPr="00516CF5">
        <w:rPr>
          <w:sz w:val="20"/>
          <w:szCs w:val="20"/>
          <w:lang w:val="en-GB"/>
        </w:rPr>
        <w:t xml:space="preserve">, which will always be held at the same time as </w:t>
      </w:r>
      <w:proofErr w:type="spellStart"/>
      <w:r w:rsidRPr="00516CF5">
        <w:rPr>
          <w:sz w:val="20"/>
          <w:szCs w:val="20"/>
          <w:lang w:val="en-GB"/>
        </w:rPr>
        <w:t>NovelFarm</w:t>
      </w:r>
      <w:proofErr w:type="spellEnd"/>
      <w:r w:rsidRPr="00516CF5">
        <w:rPr>
          <w:sz w:val="20"/>
          <w:szCs w:val="20"/>
          <w:lang w:val="en-GB"/>
        </w:rPr>
        <w:t xml:space="preserve"> &amp; </w:t>
      </w:r>
      <w:proofErr w:type="spellStart"/>
      <w:r w:rsidRPr="00516CF5">
        <w:rPr>
          <w:sz w:val="20"/>
          <w:szCs w:val="20"/>
          <w:lang w:val="en-GB"/>
        </w:rPr>
        <w:t>AlgaeFarm</w:t>
      </w:r>
      <w:proofErr w:type="spellEnd"/>
      <w:r w:rsidRPr="00516CF5">
        <w:rPr>
          <w:sz w:val="20"/>
          <w:szCs w:val="20"/>
          <w:lang w:val="en-GB"/>
        </w:rPr>
        <w:t>.</w:t>
      </w:r>
    </w:p>
    <w:p w14:paraId="60061E4C" w14:textId="77777777" w:rsidR="00E84476" w:rsidRPr="00B02E6B" w:rsidRDefault="00E84476">
      <w:pPr>
        <w:jc w:val="both"/>
        <w:rPr>
          <w:rStyle w:val="Nessuno"/>
          <w:rFonts w:eastAsia="Lato" w:cs="Calibri"/>
          <w:b/>
          <w:bCs/>
          <w:sz w:val="20"/>
          <w:szCs w:val="20"/>
          <w:shd w:val="clear" w:color="auto" w:fill="FEFFFF"/>
        </w:rPr>
      </w:pPr>
    </w:p>
    <w:p w14:paraId="7177B094" w14:textId="77777777" w:rsidR="00A847F8" w:rsidRPr="00D22F44" w:rsidRDefault="00A847F8" w:rsidP="00A847F8">
      <w:pPr>
        <w:pStyle w:val="NormaleWeb"/>
        <w:jc w:val="both"/>
        <w:rPr>
          <w:rFonts w:ascii="Lato" w:eastAsia="Lato" w:hAnsi="Lato" w:cs="Lato"/>
          <w:i/>
          <w:iCs/>
          <w:sz w:val="18"/>
          <w:szCs w:val="18"/>
          <w:lang w:val="en-GB"/>
        </w:rPr>
      </w:pPr>
      <w:proofErr w:type="spellStart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>AquaFarm</w:t>
      </w:r>
      <w:proofErr w:type="spellEnd"/>
      <w:r w:rsidRPr="00D22F44">
        <w:rPr>
          <w:rFonts w:ascii="Lato" w:eastAsia="Lato" w:hAnsi="Lato" w:cs="Lato"/>
          <w:i/>
          <w:iCs/>
          <w:sz w:val="18"/>
          <w:szCs w:val="18"/>
          <w:lang w:val="en-GB"/>
        </w:rPr>
        <w:t xml:space="preserve"> is an international exhibition-conference on aquaculture and the sustainable fishing industry, organized by Pordenone </w:t>
      </w:r>
      <w:proofErr w:type="spellStart"/>
      <w:r w:rsidRPr="00D22F44">
        <w:rPr>
          <w:rFonts w:ascii="Lato" w:eastAsia="Lato" w:hAnsi="Lato" w:cs="Lato"/>
          <w:i/>
          <w:iCs/>
          <w:sz w:val="18"/>
          <w:szCs w:val="18"/>
          <w:lang w:val="en-GB"/>
        </w:rPr>
        <w:t>Fiere</w:t>
      </w:r>
      <w:proofErr w:type="spellEnd"/>
      <w:r w:rsidRPr="00D22F44">
        <w:rPr>
          <w:rFonts w:ascii="Lato" w:eastAsia="Lato" w:hAnsi="Lato" w:cs="Lato"/>
          <w:i/>
          <w:iCs/>
          <w:sz w:val="18"/>
          <w:szCs w:val="18"/>
          <w:lang w:val="en-GB"/>
        </w:rPr>
        <w:t xml:space="preserve"> in collaboration with </w:t>
      </w:r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 xml:space="preserve">API, </w:t>
      </w:r>
      <w:proofErr w:type="spellStart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>Associazione</w:t>
      </w:r>
      <w:proofErr w:type="spellEnd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>Piscicoltori</w:t>
      </w:r>
      <w:proofErr w:type="spellEnd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 xml:space="preserve"> Italiani, AMA, </w:t>
      </w:r>
      <w:proofErr w:type="spellStart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>Associazione</w:t>
      </w:r>
      <w:proofErr w:type="spellEnd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 xml:space="preserve"> Mediterranea </w:t>
      </w:r>
      <w:proofErr w:type="spellStart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>Acquacoltori</w:t>
      </w:r>
      <w:proofErr w:type="spellEnd"/>
      <w:r w:rsidRPr="00D22F44">
        <w:rPr>
          <w:rFonts w:ascii="Lato" w:eastAsia="Lato" w:hAnsi="Lato" w:cs="Lato"/>
          <w:i/>
          <w:iCs/>
          <w:sz w:val="18"/>
          <w:szCs w:val="18"/>
          <w:lang w:val="en-GB"/>
        </w:rPr>
        <w:t xml:space="preserve">, and with </w:t>
      </w:r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 xml:space="preserve">Studio </w:t>
      </w:r>
      <w:proofErr w:type="spellStart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>Comelli</w:t>
      </w:r>
      <w:proofErr w:type="spellEnd"/>
      <w:r w:rsidRPr="00D22F44">
        <w:rPr>
          <w:rFonts w:ascii="Lato" w:eastAsia="Lato" w:hAnsi="Lato" w:cs="Lato"/>
          <w:i/>
          <w:iCs/>
          <w:sz w:val="18"/>
          <w:szCs w:val="18"/>
          <w:lang w:val="en-GB"/>
        </w:rPr>
        <w:t xml:space="preserve"> – </w:t>
      </w:r>
      <w:proofErr w:type="spellStart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>Conferences&amp;Communication</w:t>
      </w:r>
      <w:proofErr w:type="spellEnd"/>
      <w:r w:rsidRPr="00D22F44">
        <w:rPr>
          <w:rFonts w:ascii="Lato" w:eastAsia="Lato" w:hAnsi="Lato" w:cs="Lato"/>
          <w:i/>
          <w:iCs/>
          <w:sz w:val="18"/>
          <w:szCs w:val="18"/>
          <w:lang w:val="en-GB"/>
        </w:rPr>
        <w:t xml:space="preserve">, which takes care of the conference content and the press office. The event was born in 2017 and since 2020 has been permanently accompanied by </w:t>
      </w:r>
      <w:proofErr w:type="spellStart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>NovelFarm</w:t>
      </w:r>
      <w:proofErr w:type="spellEnd"/>
      <w:r w:rsidRPr="00D22F44">
        <w:rPr>
          <w:rFonts w:ascii="Lato" w:eastAsia="Lato" w:hAnsi="Lato" w:cs="Lato"/>
          <w:i/>
          <w:iCs/>
          <w:sz w:val="18"/>
          <w:szCs w:val="18"/>
          <w:lang w:val="en-GB"/>
        </w:rPr>
        <w:t xml:space="preserve">, an international exhibition-conference on innovations in agriculture, indoor and vertical farming. The latest </w:t>
      </w:r>
      <w:r>
        <w:rPr>
          <w:rFonts w:ascii="Lato" w:eastAsia="Lato" w:hAnsi="Lato" w:cs="Lato"/>
          <w:i/>
          <w:iCs/>
          <w:sz w:val="18"/>
          <w:szCs w:val="18"/>
          <w:lang w:val="en-GB"/>
        </w:rPr>
        <w:t>addition</w:t>
      </w:r>
      <w:r w:rsidRPr="00D22F44">
        <w:rPr>
          <w:rFonts w:ascii="Lato" w:eastAsia="Lato" w:hAnsi="Lato" w:cs="Lato"/>
          <w:i/>
          <w:iCs/>
          <w:sz w:val="18"/>
          <w:szCs w:val="18"/>
          <w:lang w:val="en-GB"/>
        </w:rPr>
        <w:t xml:space="preserve">, since 2022, </w:t>
      </w:r>
      <w:proofErr w:type="spellStart"/>
      <w:r w:rsidRPr="00D22F44">
        <w:rPr>
          <w:rFonts w:ascii="Lato" w:eastAsia="Lato" w:hAnsi="Lato" w:cs="Lato"/>
          <w:b/>
          <w:bCs/>
          <w:i/>
          <w:iCs/>
          <w:sz w:val="18"/>
          <w:szCs w:val="18"/>
          <w:lang w:val="en-GB"/>
        </w:rPr>
        <w:t>AlgaeFarm</w:t>
      </w:r>
      <w:proofErr w:type="spellEnd"/>
      <w:r w:rsidRPr="00D22F44">
        <w:rPr>
          <w:rFonts w:ascii="Lato" w:eastAsia="Lato" w:hAnsi="Lato" w:cs="Lato"/>
          <w:i/>
          <w:iCs/>
          <w:sz w:val="18"/>
          <w:szCs w:val="18"/>
          <w:lang w:val="en-GB"/>
        </w:rPr>
        <w:t xml:space="preserve"> is the only Italian event that </w:t>
      </w:r>
      <w:r>
        <w:rPr>
          <w:rFonts w:ascii="Lato" w:eastAsia="Lato" w:hAnsi="Lato" w:cs="Lato"/>
          <w:i/>
          <w:iCs/>
          <w:sz w:val="18"/>
          <w:szCs w:val="18"/>
          <w:lang w:val="en-GB"/>
        </w:rPr>
        <w:t>joins</w:t>
      </w:r>
      <w:r w:rsidRPr="00D22F44">
        <w:rPr>
          <w:rFonts w:ascii="Lato" w:eastAsia="Lato" w:hAnsi="Lato" w:cs="Lato"/>
          <w:i/>
          <w:iCs/>
          <w:sz w:val="18"/>
          <w:szCs w:val="18"/>
          <w:lang w:val="en-GB"/>
        </w:rPr>
        <w:t xml:space="preserve"> research and industry dedicated to the </w:t>
      </w:r>
      <w:r w:rsidRPr="00D22F44">
        <w:rPr>
          <w:rFonts w:ascii="Lato" w:eastAsia="Lato" w:hAnsi="Lato" w:cs="Lato"/>
          <w:i/>
          <w:iCs/>
          <w:sz w:val="18"/>
          <w:szCs w:val="18"/>
          <w:lang w:val="en-GB"/>
        </w:rPr>
        <w:lastRenderedPageBreak/>
        <w:t>cultivation of microalgae and other microorganisms. Participation in the event is free upon online registration on the website: www.aquafarmexpo.it and www.novelfarmexpo.it.</w:t>
      </w:r>
    </w:p>
    <w:p w14:paraId="17BE1D12" w14:textId="77777777" w:rsidR="00A847F8" w:rsidRPr="005C4484" w:rsidRDefault="00A847F8" w:rsidP="00A847F8">
      <w:pPr>
        <w:rPr>
          <w:rFonts w:ascii="Helvetica Neue" w:hAnsi="Helvetica Neue"/>
          <w:sz w:val="20"/>
          <w:szCs w:val="20"/>
          <w:lang w:val="en-GB"/>
        </w:rPr>
      </w:pPr>
    </w:p>
    <w:p w14:paraId="736E0664" w14:textId="77777777" w:rsidR="00A847F8" w:rsidRPr="00D22F44" w:rsidRDefault="00A847F8" w:rsidP="00A847F8">
      <w:pPr>
        <w:jc w:val="both"/>
        <w:rPr>
          <w:rFonts w:ascii="Lato" w:eastAsia="Lato" w:hAnsi="Lato" w:cs="Lato"/>
          <w:b/>
          <w:bCs/>
          <w:i/>
          <w:iCs/>
          <w:sz w:val="18"/>
          <w:szCs w:val="18"/>
        </w:rPr>
      </w:pPr>
      <w:r w:rsidRPr="00D22F44">
        <w:rPr>
          <w:rFonts w:ascii="Lato" w:eastAsia="Lato" w:hAnsi="Lato" w:cs="Lato"/>
          <w:b/>
          <w:bCs/>
          <w:i/>
          <w:iCs/>
          <w:sz w:val="18"/>
          <w:szCs w:val="18"/>
        </w:rPr>
        <w:t>Press Office:</w:t>
      </w:r>
    </w:p>
    <w:p w14:paraId="5EF815C6" w14:textId="77777777" w:rsidR="00A847F8" w:rsidRPr="00AF4451" w:rsidRDefault="00A847F8" w:rsidP="00A847F8">
      <w:pPr>
        <w:jc w:val="both"/>
        <w:rPr>
          <w:rFonts w:ascii="Lato" w:eastAsia="Lato" w:hAnsi="Lato" w:cs="Lato"/>
          <w:b/>
          <w:i/>
          <w:iCs/>
          <w:color w:val="7F7F7F"/>
          <w:sz w:val="18"/>
          <w:szCs w:val="18"/>
        </w:rPr>
      </w:pPr>
      <w:r w:rsidRPr="00D22F44">
        <w:rPr>
          <w:rFonts w:ascii="Lato" w:eastAsia="Lato" w:hAnsi="Lato" w:cs="Lato"/>
          <w:i/>
          <w:iCs/>
          <w:sz w:val="18"/>
          <w:szCs w:val="18"/>
        </w:rPr>
        <w:t xml:space="preserve">Salvatore Bruno – Studio Comelli - </w:t>
      </w:r>
      <w:hyperlink r:id="rId6" w:history="1">
        <w:r w:rsidRPr="00D22F44">
          <w:rPr>
            <w:rFonts w:ascii="Lato" w:eastAsia="Lato" w:hAnsi="Lato" w:cs="Lato"/>
            <w:i/>
            <w:iCs/>
            <w:sz w:val="18"/>
            <w:szCs w:val="18"/>
          </w:rPr>
          <w:t>salvatore@studiocomelli.eu</w:t>
        </w:r>
      </w:hyperlink>
      <w:r w:rsidRPr="00D22F44">
        <w:rPr>
          <w:rFonts w:ascii="Lato" w:eastAsia="Lato" w:hAnsi="Lato" w:cs="Lato"/>
          <w:i/>
          <w:iCs/>
          <w:sz w:val="18"/>
          <w:szCs w:val="18"/>
        </w:rPr>
        <w:t xml:space="preserve">  + 39 335  398913</w:t>
      </w:r>
      <w:r w:rsidRPr="00D22F44">
        <w:rPr>
          <w:rFonts w:ascii="Lato" w:eastAsia="Lato" w:hAnsi="Lato" w:cs="Lato"/>
          <w:i/>
          <w:iCs/>
          <w:sz w:val="18"/>
          <w:szCs w:val="18"/>
        </w:rPr>
        <w:tab/>
      </w:r>
      <w:r w:rsidRPr="00D22F44">
        <w:rPr>
          <w:rFonts w:ascii="Lato" w:eastAsia="Lato" w:hAnsi="Lato" w:cs="Lato"/>
          <w:i/>
          <w:iCs/>
          <w:sz w:val="18"/>
          <w:szCs w:val="18"/>
        </w:rPr>
        <w:br/>
        <w:t xml:space="preserve">Simona </w:t>
      </w:r>
      <w:proofErr w:type="spellStart"/>
      <w:r w:rsidRPr="00D22F44">
        <w:rPr>
          <w:rFonts w:ascii="Lato" w:eastAsia="Lato" w:hAnsi="Lato" w:cs="Lato"/>
          <w:i/>
          <w:iCs/>
          <w:sz w:val="18"/>
          <w:szCs w:val="18"/>
        </w:rPr>
        <w:t>Maldarelli</w:t>
      </w:r>
      <w:proofErr w:type="spellEnd"/>
      <w:r w:rsidRPr="00D22F44">
        <w:rPr>
          <w:rFonts w:ascii="Lato" w:eastAsia="Lato" w:hAnsi="Lato" w:cs="Lato"/>
          <w:i/>
          <w:iCs/>
          <w:sz w:val="18"/>
          <w:szCs w:val="18"/>
        </w:rPr>
        <w:t xml:space="preserve"> – Pordenone Fiere – smaldarelli@fierapordenone.it + 39 380 3133728</w:t>
      </w:r>
    </w:p>
    <w:p w14:paraId="6E68390C" w14:textId="77777777" w:rsidR="00A847F8" w:rsidRPr="005F2B27" w:rsidRDefault="00A847F8" w:rsidP="00A847F8">
      <w:pPr>
        <w:jc w:val="both"/>
        <w:rPr>
          <w:rStyle w:val="Nessuno"/>
          <w:rFonts w:eastAsia="Lato" w:cs="Calibri"/>
          <w:sz w:val="20"/>
          <w:szCs w:val="20"/>
          <w:shd w:val="clear" w:color="auto" w:fill="FEFFFF"/>
        </w:rPr>
      </w:pPr>
    </w:p>
    <w:p w14:paraId="0066B418" w14:textId="7659E373" w:rsidR="00E84476" w:rsidRPr="009E53F5" w:rsidRDefault="00E84476" w:rsidP="00A847F8">
      <w:pPr>
        <w:jc w:val="both"/>
        <w:rPr>
          <w:rFonts w:cs="Calibri"/>
          <w:i/>
          <w:iCs/>
          <w:sz w:val="18"/>
          <w:szCs w:val="18"/>
        </w:rPr>
      </w:pPr>
    </w:p>
    <w:sectPr w:rsidR="00E84476" w:rsidRPr="009E53F5">
      <w:headerReference w:type="default" r:id="rId7"/>
      <w:footerReference w:type="default" r:id="rId8"/>
      <w:pgSz w:w="11900" w:h="16840"/>
      <w:pgMar w:top="3119" w:right="851" w:bottom="1985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CA13D" w14:textId="77777777" w:rsidR="00AF4275" w:rsidRDefault="00AF4275">
      <w:r>
        <w:separator/>
      </w:r>
    </w:p>
  </w:endnote>
  <w:endnote w:type="continuationSeparator" w:id="0">
    <w:p w14:paraId="64029666" w14:textId="77777777" w:rsidR="00AF4275" w:rsidRDefault="00AF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F1CF" w14:textId="77777777" w:rsidR="00E84476" w:rsidRDefault="00000000">
    <w:pPr>
      <w:spacing w:line="288" w:lineRule="auto"/>
      <w:ind w:left="7788"/>
      <w:rPr>
        <w:rFonts w:ascii="Lato" w:eastAsia="Lato" w:hAnsi="Lato" w:cs="Lato"/>
        <w:b/>
        <w:bCs/>
        <w:sz w:val="14"/>
        <w:szCs w:val="14"/>
      </w:rPr>
    </w:pPr>
    <w:r>
      <w:rPr>
        <w:rFonts w:ascii="Lato" w:eastAsia="Lato" w:hAnsi="Lato" w:cs="Lato"/>
        <w:b/>
        <w:bCs/>
        <w:sz w:val="14"/>
        <w:szCs w:val="14"/>
      </w:rPr>
      <w:t>Convegni e comunicazione a cura di:</w:t>
    </w:r>
  </w:p>
  <w:p w14:paraId="20DDD927" w14:textId="77777777" w:rsidR="00E84476" w:rsidRDefault="00000000">
    <w:pPr>
      <w:spacing w:line="276" w:lineRule="auto"/>
      <w:rPr>
        <w:rFonts w:ascii="Lato Light" w:eastAsia="Lato Light" w:hAnsi="Lato Light" w:cs="Lato Light"/>
        <w:sz w:val="14"/>
        <w:szCs w:val="14"/>
      </w:rPr>
    </w:pPr>
    <w:r>
      <w:rPr>
        <w:rFonts w:ascii="Lato" w:eastAsia="Lato" w:hAnsi="Lato" w:cs="Lato"/>
        <w:b/>
        <w:bCs/>
        <w:sz w:val="14"/>
        <w:szCs w:val="14"/>
      </w:rPr>
      <w:t>Pordenone Fiere S.p.a.</w:t>
    </w:r>
    <w:r>
      <w:rPr>
        <w:rFonts w:ascii="Lato Light" w:eastAsia="Lato Light" w:hAnsi="Lato Light" w:cs="Lato Light"/>
        <w:sz w:val="14"/>
        <w:szCs w:val="14"/>
      </w:rPr>
      <w:t xml:space="preserve"> - Viale Treviso 1 - 33170 Pordenone – </w:t>
    </w:r>
    <w:proofErr w:type="spellStart"/>
    <w:r>
      <w:rPr>
        <w:rFonts w:ascii="Lato Light" w:eastAsia="Lato Light" w:hAnsi="Lato Light" w:cs="Lato Light"/>
        <w:sz w:val="14"/>
        <w:szCs w:val="14"/>
      </w:rPr>
      <w:t>Italy</w:t>
    </w:r>
    <w:proofErr w:type="spellEnd"/>
  </w:p>
  <w:p w14:paraId="7A21712E" w14:textId="77777777" w:rsidR="00E84476" w:rsidRPr="00516CF5" w:rsidRDefault="00000000">
    <w:pPr>
      <w:spacing w:line="276" w:lineRule="auto"/>
      <w:rPr>
        <w:rFonts w:ascii="Lato" w:eastAsia="Lato" w:hAnsi="Lato" w:cs="Lato"/>
        <w:b/>
        <w:bCs/>
        <w:sz w:val="14"/>
        <w:szCs w:val="14"/>
      </w:rPr>
    </w:pPr>
    <w:r w:rsidRPr="00516CF5">
      <w:rPr>
        <w:rFonts w:ascii="Lato Light" w:eastAsia="Lato Light" w:hAnsi="Lato Light" w:cs="Lato Light"/>
        <w:sz w:val="14"/>
        <w:szCs w:val="14"/>
      </w:rPr>
      <w:t>Tel. +39 0434 232111 - Fax +39 0434 570415</w:t>
    </w:r>
    <w:r w:rsidRPr="00516CF5">
      <w:rPr>
        <w:rFonts w:ascii="Lato Light" w:eastAsia="Lato Light" w:hAnsi="Lato Light" w:cs="Lato Light"/>
        <w:sz w:val="14"/>
        <w:szCs w:val="14"/>
      </w:rPr>
      <w:tab/>
    </w:r>
    <w:r w:rsidRPr="00516CF5">
      <w:rPr>
        <w:rFonts w:ascii="Lato Light" w:eastAsia="Lato Light" w:hAnsi="Lato Light" w:cs="Lato Light"/>
        <w:sz w:val="14"/>
        <w:szCs w:val="14"/>
      </w:rPr>
      <w:tab/>
    </w:r>
  </w:p>
  <w:p w14:paraId="10E82A72" w14:textId="77777777" w:rsidR="00E84476" w:rsidRPr="00516CF5" w:rsidRDefault="00000000">
    <w:pPr>
      <w:spacing w:line="276" w:lineRule="auto"/>
      <w:rPr>
        <w:rStyle w:val="Hyperlink1"/>
        <w:lang w:val="it-IT"/>
      </w:rPr>
    </w:pPr>
    <w:proofErr w:type="spellStart"/>
    <w:r w:rsidRPr="00516CF5">
      <w:rPr>
        <w:rFonts w:ascii="Lato Light" w:eastAsia="Lato Light" w:hAnsi="Lato Light" w:cs="Lato Light"/>
        <w:sz w:val="14"/>
        <w:szCs w:val="14"/>
      </w:rPr>
      <w:t>pec</w:t>
    </w:r>
    <w:proofErr w:type="spellEnd"/>
    <w:r w:rsidRPr="00516CF5">
      <w:rPr>
        <w:rFonts w:ascii="Lato Light" w:eastAsia="Lato Light" w:hAnsi="Lato Light" w:cs="Lato Light"/>
        <w:sz w:val="14"/>
        <w:szCs w:val="14"/>
      </w:rPr>
      <w:t xml:space="preserve">: amministrazione@pec.fierapordenone.it  </w:t>
    </w:r>
    <w:hyperlink r:id="rId1" w:history="1">
      <w:r w:rsidR="00E84476" w:rsidRPr="00516CF5">
        <w:rPr>
          <w:rStyle w:val="Hyperlink1"/>
          <w:lang w:val="it-IT"/>
        </w:rPr>
        <w:t>www.fierapordenone.it</w:t>
      </w:r>
    </w:hyperlink>
  </w:p>
  <w:p w14:paraId="3F725D90" w14:textId="77777777" w:rsidR="00E84476" w:rsidRPr="00516CF5" w:rsidRDefault="00000000">
    <w:pPr>
      <w:spacing w:line="276" w:lineRule="auto"/>
    </w:pPr>
    <w:r w:rsidRPr="00516CF5">
      <w:rPr>
        <w:rStyle w:val="Hyperlink1"/>
        <w:lang w:val="it-IT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9E29B" w14:textId="77777777" w:rsidR="00AF4275" w:rsidRDefault="00AF4275">
      <w:r>
        <w:separator/>
      </w:r>
    </w:p>
  </w:footnote>
  <w:footnote w:type="continuationSeparator" w:id="0">
    <w:p w14:paraId="717DAE8E" w14:textId="77777777" w:rsidR="00AF4275" w:rsidRDefault="00AF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02BB" w14:textId="77777777" w:rsidR="00E84476" w:rsidRDefault="00000000">
    <w:pPr>
      <w:jc w:val="center"/>
      <w:rPr>
        <w:rFonts w:ascii="Lato" w:eastAsia="Lato" w:hAnsi="Lato" w:cs="Lato"/>
        <w:sz w:val="30"/>
        <w:szCs w:val="3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29FD319" wp14:editId="07777777">
          <wp:simplePos x="0" y="0"/>
          <wp:positionH relativeFrom="page">
            <wp:posOffset>490982</wp:posOffset>
          </wp:positionH>
          <wp:positionV relativeFrom="page">
            <wp:posOffset>643001</wp:posOffset>
          </wp:positionV>
          <wp:extent cx="2057400" cy="669049"/>
          <wp:effectExtent l="0" t="0" r="0" b="0"/>
          <wp:wrapNone/>
          <wp:docPr id="1073741825" name="officeArt object" descr="Immagine 1192034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192034357" descr="Immagine 1192034357"/>
                  <pic:cNvPicPr>
                    <a:picLocks noChangeAspect="1"/>
                  </pic:cNvPicPr>
                </pic:nvPicPr>
                <pic:blipFill>
                  <a:blip r:embed="rId1"/>
                  <a:srcRect t="34969" b="32512"/>
                  <a:stretch>
                    <a:fillRect/>
                  </a:stretch>
                </pic:blipFill>
                <pic:spPr>
                  <a:xfrm>
                    <a:off x="0" y="0"/>
                    <a:ext cx="2057400" cy="6690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C4FC401" wp14:editId="07777777">
          <wp:simplePos x="0" y="0"/>
          <wp:positionH relativeFrom="page">
            <wp:posOffset>4968239</wp:posOffset>
          </wp:positionH>
          <wp:positionV relativeFrom="page">
            <wp:posOffset>640079</wp:posOffset>
          </wp:positionV>
          <wp:extent cx="2019300" cy="492125"/>
          <wp:effectExtent l="0" t="0" r="0" b="0"/>
          <wp:wrapNone/>
          <wp:docPr id="1073741826" name="officeArt object" descr="Immagine che contiene Carattere, Elementi grafici, grafic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che contiene Carattere, Elementi grafici, grafica, logoDescrizione generata automaticamente" descr="Immagine che contiene Carattere, Elementi grafici, grafica, logoDescrizione generat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9300" cy="4921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2718101" wp14:editId="07777777">
          <wp:simplePos x="0" y="0"/>
          <wp:positionH relativeFrom="page">
            <wp:posOffset>3234689</wp:posOffset>
          </wp:positionH>
          <wp:positionV relativeFrom="page">
            <wp:posOffset>638174</wp:posOffset>
          </wp:positionV>
          <wp:extent cx="1011556" cy="741045"/>
          <wp:effectExtent l="0" t="0" r="0" b="0"/>
          <wp:wrapNone/>
          <wp:docPr id="1073741827" name="officeArt object" descr="Immagine che contiene testo, Carattere, Elementi grafici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che contiene testo, Carattere, Elementi grafici, logoDescrizione generata automaticamente" descr="Immagine che contiene testo, Carattere, Elementi grafici, logoDescrizione generata automaticamente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1556" cy="7410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15AF495F" wp14:editId="07777777">
              <wp:simplePos x="0" y="0"/>
              <wp:positionH relativeFrom="page">
                <wp:posOffset>534035</wp:posOffset>
              </wp:positionH>
              <wp:positionV relativeFrom="page">
                <wp:posOffset>10218420</wp:posOffset>
              </wp:positionV>
              <wp:extent cx="0" cy="12701"/>
              <wp:effectExtent l="0" t="0" r="0" b="0"/>
              <wp:wrapNone/>
              <wp:docPr id="1073741828" name="officeArt object" descr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01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248B572B">
            <v:line id="_x0000_s1026" style="visibility:visible;position:absolute;margin-left:42.1pt;margin-top:804.6pt;width:0.0pt;height:1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weight="0.8pt" color="#000000" opacity="100.0%" linestyle="single" miterlimit="800.0%" joinstyle="miter" endcap="flat" dashstyle="solid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20290171" wp14:editId="07777777">
          <wp:simplePos x="0" y="0"/>
          <wp:positionH relativeFrom="page">
            <wp:posOffset>5552480</wp:posOffset>
          </wp:positionH>
          <wp:positionV relativeFrom="page">
            <wp:posOffset>10499089</wp:posOffset>
          </wp:positionV>
          <wp:extent cx="1472400" cy="432000"/>
          <wp:effectExtent l="0" t="0" r="0" b="0"/>
          <wp:wrapNone/>
          <wp:docPr id="1073741829" name="officeArt object" descr="Immagine 14036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magine 140365526" descr="Immagine 140365526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49F31CB" w14:textId="77777777" w:rsidR="00E84476" w:rsidRDefault="00E84476">
    <w:pPr>
      <w:jc w:val="center"/>
      <w:rPr>
        <w:rStyle w:val="NessunoA"/>
        <w:rFonts w:ascii="Lato" w:eastAsia="Lato" w:hAnsi="Lato" w:cs="Lato"/>
        <w:sz w:val="30"/>
        <w:szCs w:val="30"/>
      </w:rPr>
    </w:pPr>
  </w:p>
  <w:p w14:paraId="53128261" w14:textId="77777777" w:rsidR="00E84476" w:rsidRDefault="00E84476"/>
  <w:p w14:paraId="62486C05" w14:textId="77777777" w:rsidR="00E84476" w:rsidRDefault="00E84476"/>
  <w:p w14:paraId="349153B9" w14:textId="2441C488" w:rsidR="00E84476" w:rsidRPr="00516CF5" w:rsidRDefault="00000000">
    <w:pPr>
      <w:rPr>
        <w:rFonts w:ascii="Lato" w:eastAsia="Lato" w:hAnsi="Lato" w:cs="Lato"/>
        <w:sz w:val="30"/>
        <w:szCs w:val="30"/>
        <w:lang w:val="en-GB"/>
      </w:rPr>
    </w:pPr>
    <w:r w:rsidRPr="00154325">
      <w:rPr>
        <w:rFonts w:ascii="Lato" w:eastAsia="Lato" w:hAnsi="Lato" w:cs="Lato"/>
        <w:color w:val="00B0F0"/>
        <w:sz w:val="27"/>
        <w:szCs w:val="27"/>
        <w:u w:color="00B0F0"/>
        <w:lang w:val="en-GB"/>
      </w:rPr>
      <w:t xml:space="preserve">   </w:t>
    </w:r>
    <w:r w:rsidR="00E84476">
      <w:fldChar w:fldCharType="begin"/>
    </w:r>
    <w:r w:rsidR="00E84476" w:rsidRPr="00154325">
      <w:rPr>
        <w:lang w:val="en-GB"/>
      </w:rPr>
      <w:instrText>HYPERLINK "http://www.aquafarmexpo.it"</w:instrText>
    </w:r>
    <w:r w:rsidR="00E84476">
      <w:fldChar w:fldCharType="separate"/>
    </w:r>
    <w:r w:rsidR="00E84476" w:rsidRPr="00516CF5">
      <w:rPr>
        <w:rStyle w:val="Hyperlink0"/>
        <w:lang w:val="en-GB"/>
      </w:rPr>
      <w:t>www.aquafarmexpo.it</w:t>
    </w:r>
    <w:r w:rsidR="00E84476">
      <w:fldChar w:fldCharType="end"/>
    </w:r>
    <w:r w:rsidRPr="00516CF5">
      <w:rPr>
        <w:color w:val="6A9A3D"/>
        <w:u w:color="6A9A3D"/>
        <w:lang w:val="en-GB"/>
      </w:rPr>
      <w:tab/>
      <w:t xml:space="preserve">          </w:t>
    </w:r>
    <w:r w:rsidRPr="00516CF5">
      <w:rPr>
        <w:rFonts w:ascii="Lato" w:eastAsia="Lato" w:hAnsi="Lato" w:cs="Lato"/>
        <w:sz w:val="28"/>
        <w:szCs w:val="28"/>
        <w:lang w:val="en-GB"/>
      </w:rPr>
      <w:t>12 - 13 FEB</w:t>
    </w:r>
    <w:r w:rsidR="00516CF5" w:rsidRPr="00516CF5">
      <w:rPr>
        <w:rFonts w:ascii="Lato" w:eastAsia="Lato" w:hAnsi="Lato" w:cs="Lato"/>
        <w:sz w:val="28"/>
        <w:szCs w:val="28"/>
        <w:lang w:val="en-GB"/>
      </w:rPr>
      <w:t>RUARY</w:t>
    </w:r>
    <w:r w:rsidRPr="00516CF5">
      <w:rPr>
        <w:rFonts w:ascii="Lato" w:eastAsia="Lato" w:hAnsi="Lato" w:cs="Lato"/>
        <w:sz w:val="28"/>
        <w:szCs w:val="28"/>
        <w:lang w:val="en-GB"/>
      </w:rPr>
      <w:t>2025</w:t>
    </w:r>
    <w:r w:rsidRPr="00516CF5">
      <w:rPr>
        <w:rFonts w:ascii="Lato" w:eastAsia="Lato" w:hAnsi="Lato" w:cs="Lato"/>
        <w:sz w:val="30"/>
        <w:szCs w:val="30"/>
        <w:lang w:val="en-GB"/>
      </w:rPr>
      <w:t xml:space="preserve">          </w:t>
    </w:r>
    <w:hyperlink r:id="rId5" w:history="1">
      <w:r w:rsidR="00E84476" w:rsidRPr="00516CF5">
        <w:rPr>
          <w:rStyle w:val="Hyperlink0"/>
          <w:lang w:val="en-GB"/>
        </w:rPr>
        <w:t>www.novelfarmexpo.it</w:t>
      </w:r>
    </w:hyperlink>
    <w:r w:rsidRPr="00516CF5">
      <w:rPr>
        <w:color w:val="6A9A3D"/>
        <w:u w:color="6A9A3D"/>
        <w:lang w:val="en-GB"/>
      </w:rPr>
      <w:tab/>
    </w:r>
  </w:p>
  <w:p w14:paraId="4101652C" w14:textId="77777777" w:rsidR="00E84476" w:rsidRPr="00516CF5" w:rsidRDefault="00E84476">
    <w:pPr>
      <w:jc w:val="right"/>
      <w:rPr>
        <w:rFonts w:ascii="Lato" w:eastAsia="Lato" w:hAnsi="Lato" w:cs="Lato"/>
        <w:b/>
        <w:bCs/>
        <w:color w:val="D0CECE"/>
        <w:u w:color="D0CECE"/>
        <w:lang w:val="en-GB"/>
      </w:rPr>
    </w:pPr>
  </w:p>
  <w:p w14:paraId="248244BD" w14:textId="6346CBD2" w:rsidR="00E84476" w:rsidRDefault="00516CF5">
    <w:pPr>
      <w:jc w:val="center"/>
    </w:pPr>
    <w:r>
      <w:rPr>
        <w:rFonts w:ascii="Lato" w:eastAsia="Lato" w:hAnsi="Lato" w:cs="Lato"/>
        <w:color w:val="00B0F0"/>
        <w:sz w:val="27"/>
        <w:szCs w:val="27"/>
        <w:u w:color="00B0F0"/>
      </w:rPr>
      <w:t>PRESS</w:t>
    </w:r>
    <w:r>
      <w:rPr>
        <w:rFonts w:ascii="Lato" w:eastAsia="Lato" w:hAnsi="Lato" w:cs="Lato"/>
        <w:color w:val="3885B7"/>
        <w:sz w:val="27"/>
        <w:szCs w:val="27"/>
        <w:u w:color="3885B7"/>
      </w:rPr>
      <w:t xml:space="preserve">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76"/>
    <w:rsid w:val="000C641B"/>
    <w:rsid w:val="00154325"/>
    <w:rsid w:val="001A475D"/>
    <w:rsid w:val="001D01D1"/>
    <w:rsid w:val="002E55EA"/>
    <w:rsid w:val="00355991"/>
    <w:rsid w:val="003643DB"/>
    <w:rsid w:val="00516CF5"/>
    <w:rsid w:val="005A01A2"/>
    <w:rsid w:val="00622967"/>
    <w:rsid w:val="00795E31"/>
    <w:rsid w:val="0084476D"/>
    <w:rsid w:val="008A4912"/>
    <w:rsid w:val="008C362E"/>
    <w:rsid w:val="00913B76"/>
    <w:rsid w:val="00940449"/>
    <w:rsid w:val="00964E33"/>
    <w:rsid w:val="009C3EE8"/>
    <w:rsid w:val="009E53F5"/>
    <w:rsid w:val="00A83060"/>
    <w:rsid w:val="00A847F8"/>
    <w:rsid w:val="00AF4275"/>
    <w:rsid w:val="00B02E6B"/>
    <w:rsid w:val="00BB4364"/>
    <w:rsid w:val="00D15EA1"/>
    <w:rsid w:val="00E624D2"/>
    <w:rsid w:val="00E84476"/>
    <w:rsid w:val="00F463FD"/>
    <w:rsid w:val="01861C7C"/>
    <w:rsid w:val="01A684CC"/>
    <w:rsid w:val="06637D96"/>
    <w:rsid w:val="0AE9D486"/>
    <w:rsid w:val="0BB5AE4E"/>
    <w:rsid w:val="0BD0DBAE"/>
    <w:rsid w:val="0CAB12D2"/>
    <w:rsid w:val="0F5BCDF1"/>
    <w:rsid w:val="10E4DB4C"/>
    <w:rsid w:val="11D8E45F"/>
    <w:rsid w:val="120D484B"/>
    <w:rsid w:val="1315ABB9"/>
    <w:rsid w:val="16D65F5F"/>
    <w:rsid w:val="194F2782"/>
    <w:rsid w:val="198B6637"/>
    <w:rsid w:val="1AA6A551"/>
    <w:rsid w:val="1AEA18AB"/>
    <w:rsid w:val="1BAAE8CC"/>
    <w:rsid w:val="1C6E9411"/>
    <w:rsid w:val="1CB9D9D5"/>
    <w:rsid w:val="1E6063E4"/>
    <w:rsid w:val="1EC49D01"/>
    <w:rsid w:val="2323143C"/>
    <w:rsid w:val="232B0E04"/>
    <w:rsid w:val="24C6893B"/>
    <w:rsid w:val="29279902"/>
    <w:rsid w:val="2E37D9FF"/>
    <w:rsid w:val="2E74CE37"/>
    <w:rsid w:val="2FF5A3FB"/>
    <w:rsid w:val="30CE5D62"/>
    <w:rsid w:val="30F34757"/>
    <w:rsid w:val="3134EDF9"/>
    <w:rsid w:val="322084FC"/>
    <w:rsid w:val="338ED6E8"/>
    <w:rsid w:val="36BC188F"/>
    <w:rsid w:val="378F36F8"/>
    <w:rsid w:val="3A2BE387"/>
    <w:rsid w:val="3AFAA5CE"/>
    <w:rsid w:val="3C2944D4"/>
    <w:rsid w:val="3CC70501"/>
    <w:rsid w:val="3E7DF163"/>
    <w:rsid w:val="3E9D5D50"/>
    <w:rsid w:val="3EFEF661"/>
    <w:rsid w:val="4294853B"/>
    <w:rsid w:val="43E8B698"/>
    <w:rsid w:val="4453016A"/>
    <w:rsid w:val="45648284"/>
    <w:rsid w:val="4672F3DE"/>
    <w:rsid w:val="470899B7"/>
    <w:rsid w:val="4731AB26"/>
    <w:rsid w:val="48687D98"/>
    <w:rsid w:val="492F75E4"/>
    <w:rsid w:val="4BA4FFDB"/>
    <w:rsid w:val="511E9CC5"/>
    <w:rsid w:val="522E7D50"/>
    <w:rsid w:val="53036732"/>
    <w:rsid w:val="537F4FE9"/>
    <w:rsid w:val="5698E61B"/>
    <w:rsid w:val="56F9F659"/>
    <w:rsid w:val="57E6940E"/>
    <w:rsid w:val="59A37BF5"/>
    <w:rsid w:val="5AD03DF9"/>
    <w:rsid w:val="5AEE4068"/>
    <w:rsid w:val="5D22D1FE"/>
    <w:rsid w:val="5D385D04"/>
    <w:rsid w:val="5E7FAC16"/>
    <w:rsid w:val="5EB4ED27"/>
    <w:rsid w:val="61D01ADC"/>
    <w:rsid w:val="6236E296"/>
    <w:rsid w:val="63A3F873"/>
    <w:rsid w:val="65B89454"/>
    <w:rsid w:val="665FC53A"/>
    <w:rsid w:val="66FC9CB7"/>
    <w:rsid w:val="67E0AE4B"/>
    <w:rsid w:val="68E7F04C"/>
    <w:rsid w:val="6A619630"/>
    <w:rsid w:val="6BFD73A9"/>
    <w:rsid w:val="6C4D6C1E"/>
    <w:rsid w:val="6C9C0910"/>
    <w:rsid w:val="6E033257"/>
    <w:rsid w:val="6F68A77A"/>
    <w:rsid w:val="73F5F432"/>
    <w:rsid w:val="74257501"/>
    <w:rsid w:val="75924DF5"/>
    <w:rsid w:val="774F2F29"/>
    <w:rsid w:val="7897D190"/>
    <w:rsid w:val="7905DD43"/>
    <w:rsid w:val="79646C26"/>
    <w:rsid w:val="7A52E541"/>
    <w:rsid w:val="7C74B0C2"/>
    <w:rsid w:val="7CD004D8"/>
    <w:rsid w:val="7F50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1CEC"/>
  <w15:docId w15:val="{57608F31-4A7F-8C45-AAC9-801BF618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</w:style>
  <w:style w:type="character" w:customStyle="1" w:styleId="Link">
    <w:name w:val="Link"/>
    <w:rPr>
      <w:outline w:val="0"/>
      <w:color w:val="00B050"/>
      <w:u w:val="single" w:color="00B050"/>
    </w:rPr>
  </w:style>
  <w:style w:type="character" w:customStyle="1" w:styleId="Hyperlink0">
    <w:name w:val="Hyperlink.0"/>
    <w:basedOn w:val="Link"/>
    <w:rPr>
      <w:rFonts w:ascii="Lato" w:eastAsia="Lato" w:hAnsi="Lato" w:cs="Lato"/>
      <w:outline w:val="0"/>
      <w:color w:val="00B050"/>
      <w:sz w:val="27"/>
      <w:szCs w:val="27"/>
      <w:u w:val="single" w:color="00B050"/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rFonts w:ascii="Lato Light" w:eastAsia="Lato Light" w:hAnsi="Lato Light" w:cs="Lato Light"/>
      <w:outline w:val="0"/>
      <w:color w:val="000000"/>
      <w:sz w:val="14"/>
      <w:szCs w:val="14"/>
      <w:u w:color="000000"/>
      <w:lang w:val="en-US"/>
    </w:rPr>
  </w:style>
  <w:style w:type="character" w:customStyle="1" w:styleId="Hyperlink2">
    <w:name w:val="Hyperlink.2"/>
    <w:basedOn w:val="Nessuno"/>
    <w:rPr>
      <w:rFonts w:ascii="Lato" w:eastAsia="Lato" w:hAnsi="Lato" w:cs="Lato"/>
      <w:outline w:val="0"/>
      <w:color w:val="00B050"/>
      <w:sz w:val="16"/>
      <w:szCs w:val="16"/>
      <w:u w:val="single" w:color="00B050"/>
      <w:shd w:val="clear" w:color="auto" w:fill="FEFFFF"/>
    </w:rPr>
  </w:style>
  <w:style w:type="paragraph" w:styleId="Intestazione">
    <w:name w:val="header"/>
    <w:basedOn w:val="Normale"/>
    <w:link w:val="IntestazioneCarattere"/>
    <w:uiPriority w:val="99"/>
    <w:unhideWhenUsed/>
    <w:rsid w:val="001D0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1D1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D0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1D1"/>
    <w:rPr>
      <w:rFonts w:ascii="Calibri" w:hAnsi="Calibri"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5A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A0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vatore@studiocomelli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eraporden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novelfarmexpo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 Odorico</dc:creator>
  <cp:lastModifiedBy>Enzo Valentini</cp:lastModifiedBy>
  <cp:revision>4</cp:revision>
  <dcterms:created xsi:type="dcterms:W3CDTF">2025-03-11T21:08:00Z</dcterms:created>
  <dcterms:modified xsi:type="dcterms:W3CDTF">2025-03-11T22:39:00Z</dcterms:modified>
</cp:coreProperties>
</file>