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A3E5" w14:textId="77777777" w:rsidR="00B27571" w:rsidRDefault="00B27571">
      <w:pPr>
        <w:jc w:val="center"/>
        <w:rPr>
          <w:rFonts w:ascii="Lato" w:eastAsia="Lato" w:hAnsi="Lato" w:cs="Lato"/>
          <w:b/>
          <w:bCs/>
          <w:sz w:val="32"/>
          <w:szCs w:val="32"/>
        </w:rPr>
      </w:pPr>
    </w:p>
    <w:p w14:paraId="702A3D50" w14:textId="77777777" w:rsidR="00B27571" w:rsidRDefault="001E0381">
      <w:pPr>
        <w:spacing w:line="259" w:lineRule="auto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proofErr w:type="spellStart"/>
      <w:r>
        <w:rPr>
          <w:rFonts w:ascii="Helvetica" w:hAnsi="Helvetica"/>
          <w:b/>
          <w:bCs/>
          <w:sz w:val="36"/>
          <w:szCs w:val="36"/>
        </w:rPr>
        <w:t>AquaFarm</w:t>
      </w:r>
      <w:proofErr w:type="spellEnd"/>
      <w:r>
        <w:rPr>
          <w:rFonts w:ascii="Helvetica" w:hAnsi="Helvetica"/>
          <w:b/>
          <w:bCs/>
          <w:sz w:val="36"/>
          <w:szCs w:val="36"/>
        </w:rPr>
        <w:t xml:space="preserve"> </w:t>
      </w:r>
      <w:proofErr w:type="gramStart"/>
      <w:r>
        <w:rPr>
          <w:rFonts w:ascii="Helvetica" w:hAnsi="Helvetica"/>
          <w:b/>
          <w:bCs/>
          <w:sz w:val="36"/>
          <w:szCs w:val="36"/>
        </w:rPr>
        <w:t>9</w:t>
      </w:r>
      <w:r>
        <w:rPr>
          <w:rFonts w:ascii="Helvetica" w:hAnsi="Helvetica"/>
          <w:b/>
          <w:bCs/>
          <w:sz w:val="36"/>
          <w:szCs w:val="36"/>
          <w:vertAlign w:val="superscript"/>
        </w:rPr>
        <w:t>a</w:t>
      </w:r>
      <w:proofErr w:type="gramEnd"/>
      <w:r>
        <w:rPr>
          <w:rFonts w:ascii="Helvetica" w:hAnsi="Helvetica"/>
          <w:b/>
          <w:bCs/>
          <w:sz w:val="36"/>
          <w:szCs w:val="36"/>
        </w:rPr>
        <w:t xml:space="preserve"> edizione, il mondo del prodotto </w:t>
      </w:r>
    </w:p>
    <w:p w14:paraId="1F7F1DF3" w14:textId="77777777" w:rsidR="00B27571" w:rsidRDefault="001E0381">
      <w:pPr>
        <w:spacing w:line="259" w:lineRule="auto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ittico si ritrova a Pordenone</w:t>
      </w:r>
    </w:p>
    <w:p w14:paraId="6AACBEBA" w14:textId="77777777" w:rsidR="00B27571" w:rsidRDefault="00B27571">
      <w:pPr>
        <w:spacing w:line="259" w:lineRule="auto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01DE268" w14:textId="77777777" w:rsidR="00B27571" w:rsidRDefault="001E0381">
      <w:pPr>
        <w:jc w:val="center"/>
        <w:rPr>
          <w:rFonts w:ascii="Helvetica" w:eastAsia="Helvetica" w:hAnsi="Helvetica" w:cs="Helvetica"/>
          <w:i/>
          <w:iCs/>
          <w:sz w:val="26"/>
          <w:szCs w:val="26"/>
        </w:rPr>
      </w:pPr>
      <w:r>
        <w:rPr>
          <w:rFonts w:ascii="Helvetica" w:hAnsi="Helvetica"/>
          <w:i/>
          <w:iCs/>
          <w:sz w:val="26"/>
          <w:szCs w:val="26"/>
        </w:rPr>
        <w:t>Alla Fiera di Pordenone, al via la due giorni di mostra-convegno internazionale dedicata ad acquacoltura, pesca artigianale e su piccola scala, produzione di alghe: qualità, sicurezza alimentare, sostenibilità a 360 gradi, innovazione le parole chiave</w:t>
      </w:r>
    </w:p>
    <w:p w14:paraId="1583546D" w14:textId="77777777" w:rsidR="00B27571" w:rsidRDefault="00B27571">
      <w:pPr>
        <w:jc w:val="center"/>
        <w:rPr>
          <w:rFonts w:ascii="Lato" w:eastAsia="Lato" w:hAnsi="Lato" w:cs="Lato"/>
          <w:sz w:val="28"/>
          <w:szCs w:val="28"/>
        </w:rPr>
      </w:pPr>
    </w:p>
    <w:p w14:paraId="6A4A8641" w14:textId="77777777" w:rsidR="00B27571" w:rsidRDefault="001E0381">
      <w:pPr>
        <w:jc w:val="both"/>
        <w:rPr>
          <w:rFonts w:ascii="Helvetica" w:eastAsia="Helvetica" w:hAnsi="Helvetica" w:cs="Helvetica"/>
          <w:color w:val="FF0000"/>
          <w:u w:color="FF0000"/>
        </w:rPr>
      </w:pPr>
      <w:r>
        <w:rPr>
          <w:rFonts w:ascii="Helvetica" w:hAnsi="Helvetica"/>
          <w:b/>
          <w:bCs/>
          <w:i/>
          <w:iCs/>
        </w:rPr>
        <w:t>Pordenone, 17 febbraio 2026</w:t>
      </w:r>
      <w:r>
        <w:rPr>
          <w:rFonts w:ascii="Helvetica" w:hAnsi="Helvetica"/>
          <w:i/>
          <w:iCs/>
        </w:rPr>
        <w:t xml:space="preserve"> – </w:t>
      </w:r>
      <w:r>
        <w:rPr>
          <w:rFonts w:ascii="Helvetica" w:hAnsi="Helvetica"/>
        </w:rPr>
        <w:t xml:space="preserve">Al via </w:t>
      </w:r>
      <w:proofErr w:type="spellStart"/>
      <w:r>
        <w:rPr>
          <w:rFonts w:ascii="Helvetica" w:hAnsi="Helvetica"/>
          <w:b/>
          <w:bCs/>
        </w:rPr>
        <w:t>AquaFarm</w:t>
      </w:r>
      <w:proofErr w:type="spellEnd"/>
      <w:r>
        <w:rPr>
          <w:rFonts w:ascii="Helvetica" w:hAnsi="Helvetica"/>
          <w:b/>
          <w:bCs/>
        </w:rPr>
        <w:t xml:space="preserve"> 2026</w:t>
      </w:r>
      <w:r>
        <w:rPr>
          <w:rFonts w:ascii="Helvetica" w:hAnsi="Helvetica"/>
        </w:rPr>
        <w:t xml:space="preserve">, che giunge alla sua </w:t>
      </w:r>
      <w:proofErr w:type="gramStart"/>
      <w:r>
        <w:rPr>
          <w:rFonts w:ascii="Helvetica" w:hAnsi="Helvetica"/>
        </w:rPr>
        <w:t>9</w:t>
      </w:r>
      <w:r>
        <w:rPr>
          <w:rFonts w:ascii="Helvetica" w:hAnsi="Helvetica"/>
          <w:vertAlign w:val="superscript"/>
        </w:rPr>
        <w:t>a</w:t>
      </w:r>
      <w:proofErr w:type="gramEnd"/>
      <w:r>
        <w:rPr>
          <w:rFonts w:ascii="Helvetica" w:hAnsi="Helvetica"/>
        </w:rPr>
        <w:t xml:space="preserve"> edizione. La manifestazione sarà articolata in tre aree tematiche — </w:t>
      </w:r>
      <w:proofErr w:type="spellStart"/>
      <w:r>
        <w:rPr>
          <w:rFonts w:ascii="Helvetica" w:hAnsi="Helvetica"/>
        </w:rPr>
        <w:t>AquaFarm</w:t>
      </w:r>
      <w:proofErr w:type="spellEnd"/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AquaFishery</w:t>
      </w:r>
      <w:proofErr w:type="spellEnd"/>
      <w:r>
        <w:rPr>
          <w:rFonts w:ascii="Helvetica" w:hAnsi="Helvetica"/>
        </w:rPr>
        <w:t xml:space="preserve"> e </w:t>
      </w:r>
      <w:proofErr w:type="spellStart"/>
      <w:r>
        <w:rPr>
          <w:rFonts w:ascii="Helvetica" w:hAnsi="Helvetica"/>
        </w:rPr>
        <w:t>AlgaeFarm</w:t>
      </w:r>
      <w:proofErr w:type="spellEnd"/>
      <w:r>
        <w:rPr>
          <w:rFonts w:ascii="Helvetica" w:hAnsi="Helvetica"/>
        </w:rPr>
        <w:t xml:space="preserve"> — e occuperà </w:t>
      </w:r>
      <w:r>
        <w:rPr>
          <w:rFonts w:ascii="Helvetica" w:hAnsi="Helvetica"/>
          <w:b/>
          <w:bCs/>
        </w:rPr>
        <w:t>6.000 metri quadrati</w:t>
      </w:r>
      <w:r>
        <w:rPr>
          <w:rFonts w:ascii="Helvetica" w:hAnsi="Helvetica"/>
        </w:rPr>
        <w:t xml:space="preserve"> tra area espositiva e sale conferenze, con oltre </w:t>
      </w:r>
      <w:r>
        <w:rPr>
          <w:rFonts w:ascii="Helvetica" w:hAnsi="Helvetica"/>
          <w:b/>
          <w:bCs/>
        </w:rPr>
        <w:t xml:space="preserve">120 espositori </w:t>
      </w:r>
      <w:r>
        <w:rPr>
          <w:rFonts w:ascii="Helvetica" w:hAnsi="Helvetica"/>
        </w:rPr>
        <w:t xml:space="preserve">e marchi rappresentati. Tra le novità spicca </w:t>
      </w:r>
      <w:proofErr w:type="spellStart"/>
      <w:r>
        <w:rPr>
          <w:rFonts w:ascii="Helvetica" w:hAnsi="Helvetica"/>
        </w:rPr>
        <w:t>AquaFishery</w:t>
      </w:r>
      <w:proofErr w:type="spellEnd"/>
      <w:r>
        <w:rPr>
          <w:rFonts w:ascii="Helvetica" w:hAnsi="Helvetica"/>
        </w:rPr>
        <w:t>, nuova iniziativa dedicata alla pesca artigianale e professionale su piccola scala, nata con l’obiettivo di valorizzare le filiere del mare e delle acque interne, promuovendo innovazione e crescita sostenibile del comparto ittico.</w:t>
      </w:r>
    </w:p>
    <w:p w14:paraId="480D5DB6" w14:textId="77777777" w:rsidR="00B27571" w:rsidRDefault="00B27571">
      <w:pPr>
        <w:jc w:val="both"/>
        <w:rPr>
          <w:rFonts w:ascii="Helvetica" w:eastAsia="Helvetica" w:hAnsi="Helvetica" w:cs="Helvetica"/>
        </w:rPr>
      </w:pPr>
    </w:p>
    <w:p w14:paraId="43D0E2F6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«</w:t>
      </w:r>
      <w:proofErr w:type="spellStart"/>
      <w:r>
        <w:rPr>
          <w:rFonts w:ascii="Helvetica" w:hAnsi="Helvetica"/>
          <w:i/>
          <w:iCs/>
        </w:rPr>
        <w:t>AquaFarm</w:t>
      </w:r>
      <w:proofErr w:type="spellEnd"/>
      <w:r>
        <w:rPr>
          <w:rFonts w:ascii="Helvetica" w:hAnsi="Helvetica"/>
          <w:i/>
          <w:iCs/>
        </w:rPr>
        <w:t xml:space="preserve"> si conferma un appuntamento dal forte taglio scientifico e internazionale, ormai punto di riferimento in Italia per il settore</w:t>
      </w:r>
      <w:r>
        <w:rPr>
          <w:rFonts w:ascii="Helvetica" w:hAnsi="Helvetica"/>
        </w:rPr>
        <w:t xml:space="preserve"> — sottolinea il presidente della </w:t>
      </w:r>
      <w:r>
        <w:rPr>
          <w:rFonts w:ascii="Helvetica" w:hAnsi="Helvetica"/>
          <w:b/>
          <w:bCs/>
        </w:rPr>
        <w:t>Fiera</w:t>
      </w:r>
      <w:r>
        <w:rPr>
          <w:rFonts w:ascii="Helvetica" w:hAnsi="Helvetica"/>
        </w:rPr>
        <w:t>,</w:t>
      </w:r>
      <w:r>
        <w:rPr>
          <w:rFonts w:ascii="Helvetica" w:hAnsi="Helvetica"/>
          <w:b/>
          <w:bCs/>
        </w:rPr>
        <w:t xml:space="preserve"> Renato Pujatti </w:t>
      </w:r>
      <w:r>
        <w:rPr>
          <w:rFonts w:ascii="Helvetica" w:hAnsi="Helvetica"/>
        </w:rPr>
        <w:t xml:space="preserve">— </w:t>
      </w:r>
      <w:r>
        <w:rPr>
          <w:rFonts w:ascii="Helvetica" w:hAnsi="Helvetica"/>
          <w:i/>
          <w:iCs/>
        </w:rPr>
        <w:t>La manifestazione contribuisce a valorizzare l’acquacoltura, una risorsa strategica per il nostro territorio e per l’intero sistema agroalimentare nazionale, favorendo il confronto tra imprese, ricerca e istituzioni</w:t>
      </w:r>
      <w:r>
        <w:rPr>
          <w:rFonts w:ascii="Helvetica" w:hAnsi="Helvetica"/>
        </w:rPr>
        <w:t>».</w:t>
      </w:r>
    </w:p>
    <w:p w14:paraId="3F9FDB06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</w:p>
    <w:p w14:paraId="72A23EFB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Grazie alla collaborazione con </w:t>
      </w:r>
      <w:r>
        <w:rPr>
          <w:rFonts w:ascii="Helvetica" w:hAnsi="Helvetica"/>
          <w:b/>
          <w:bCs/>
        </w:rPr>
        <w:t>ICE-Agenzia</w:t>
      </w:r>
      <w:r>
        <w:rPr>
          <w:rFonts w:ascii="Helvetica" w:hAnsi="Helvetica"/>
        </w:rPr>
        <w:t xml:space="preserve"> per la promozione all’estero e l’internazionalizzazione delle imprese italiane, questa edizione di </w:t>
      </w:r>
      <w:proofErr w:type="spellStart"/>
      <w:r>
        <w:rPr>
          <w:rFonts w:ascii="Helvetica" w:hAnsi="Helvetica"/>
        </w:rPr>
        <w:t>AquaFarm</w:t>
      </w:r>
      <w:proofErr w:type="spellEnd"/>
      <w:r>
        <w:rPr>
          <w:rFonts w:ascii="Helvetica" w:hAnsi="Helvetica"/>
        </w:rPr>
        <w:t xml:space="preserve"> accoglierà circa </w:t>
      </w:r>
      <w:r>
        <w:rPr>
          <w:rFonts w:ascii="Helvetica" w:hAnsi="Helvetica"/>
          <w:b/>
          <w:bCs/>
        </w:rPr>
        <w:t xml:space="preserve">40 tra delegati e Trade Analyst </w:t>
      </w:r>
      <w:r>
        <w:rPr>
          <w:rFonts w:ascii="Helvetica" w:hAnsi="Helvetica"/>
        </w:rPr>
        <w:t xml:space="preserve">provenienti da Albania, Azerbaijan, Bosnia ed Erzegovina, Croazia, Georgia, Grecia, Israele, Marocco, Slovenia, Tunisia e Kenya. L’Eritrea sarà protagonista dell’incontro in programma giovedì 19 febbraio, dalle 9.30 alle 11.00, dal titolo “Ricerca di mercato delle opportunità di business nel comparto ittico e agri-food in Eritrea”, a cura di ICE-Agenzia per la promozione all’estero e l’internazionalizzazione delle imprese italiane. All’evento interverranno tra gli altri: S.E. </w:t>
      </w:r>
      <w:proofErr w:type="spellStart"/>
      <w:r>
        <w:rPr>
          <w:rFonts w:ascii="Helvetica" w:hAnsi="Helvetica"/>
        </w:rPr>
        <w:t>Fesehatsion</w:t>
      </w:r>
      <w:proofErr w:type="spellEnd"/>
      <w:r>
        <w:rPr>
          <w:rFonts w:ascii="Helvetica" w:hAnsi="Helvetica"/>
        </w:rPr>
        <w:t xml:space="preserve"> Petros, Ambasciatore eritreo in Italia e nei Paesi Scandinavi; Asmerom Kidane, Consigliere e Rappresentante Permanente Alterno della delegazione dell’Eritrea presso FAO, IFAD e WFP a Roma; Yordanos Beyene, Primo Segretario presso l’Ambasciata eritrea in Italia e nei Paesi Scandinavi. </w:t>
      </w:r>
    </w:p>
    <w:p w14:paraId="5557202A" w14:textId="77777777" w:rsidR="00B27571" w:rsidRDefault="00B27571">
      <w:pPr>
        <w:jc w:val="both"/>
        <w:rPr>
          <w:rFonts w:ascii="Helvetica" w:eastAsia="Helvetica" w:hAnsi="Helvetica" w:cs="Helvetica"/>
        </w:rPr>
      </w:pPr>
    </w:p>
    <w:p w14:paraId="0A79C434" w14:textId="77777777" w:rsidR="00B27571" w:rsidRDefault="001E0381">
      <w:pPr>
        <w:jc w:val="both"/>
        <w:rPr>
          <w:rFonts w:ascii="Helvetica" w:eastAsia="Helvetica" w:hAnsi="Helvetica" w:cs="Helvetica"/>
          <w:color w:val="FF0000"/>
          <w:u w:color="FF0000"/>
        </w:rPr>
      </w:pPr>
      <w:r>
        <w:rPr>
          <w:rFonts w:ascii="Helvetica" w:hAnsi="Helvetica"/>
        </w:rPr>
        <w:t>I delegati visiteranno la fiera nelle giornate del 18 e 19 febbraio e, nel pomeriggio del 19, parteciperanno anche a una visita tecnica presso un allevamento di trote nei dintorni di Pordenone.</w:t>
      </w:r>
    </w:p>
    <w:p w14:paraId="7C68A34D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</w:p>
    <w:p w14:paraId="554DCBD0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 xml:space="preserve">Il programma delle conferenze, che copre le tre tematiche, prevede </w:t>
      </w:r>
      <w:r>
        <w:rPr>
          <w:rFonts w:ascii="Helvetica" w:hAnsi="Helvetica"/>
          <w:b/>
          <w:bCs/>
        </w:rPr>
        <w:t xml:space="preserve">25 sessioni di lavoro </w:t>
      </w:r>
      <w:r>
        <w:rPr>
          <w:rFonts w:ascii="Helvetica" w:hAnsi="Helvetica"/>
        </w:rPr>
        <w:t xml:space="preserve">che toccheranno temi cruciali per il futuro del settore, con la partecipazione di oltre </w:t>
      </w:r>
      <w:r>
        <w:rPr>
          <w:rFonts w:ascii="Helvetica" w:hAnsi="Helvetica"/>
          <w:b/>
          <w:bCs/>
        </w:rPr>
        <w:t>100 relatori ed esperti di calibro internazionale</w:t>
      </w:r>
      <w:r>
        <w:rPr>
          <w:rFonts w:ascii="Helvetica" w:hAnsi="Helvetica"/>
        </w:rPr>
        <w:t xml:space="preserve">, tra cui accademici, rappresentanti delle principali associazioni e manager aziendali. </w:t>
      </w:r>
    </w:p>
    <w:p w14:paraId="2490DABB" w14:textId="45D652AA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Quest’anno la presenza istituzionale sarà particolarmente </w:t>
      </w:r>
      <w:r w:rsidR="00F427D4">
        <w:rPr>
          <w:rFonts w:ascii="Helvetica" w:hAnsi="Helvetica"/>
        </w:rPr>
        <w:t xml:space="preserve">importante in occasione della cerimonia inaugurale. Interverranno: </w:t>
      </w:r>
      <w:r w:rsidR="00F427D4" w:rsidRPr="00F427D4">
        <w:rPr>
          <w:rFonts w:ascii="Helvetica" w:hAnsi="Helvetica"/>
          <w:b/>
          <w:bCs/>
        </w:rPr>
        <w:t>Alessandro Basso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</w:rPr>
        <w:t>Sindaco di Pordenone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Marco De Munari</w:t>
      </w:r>
      <w:r w:rsidR="00F427D4" w:rsidRPr="00F427D4">
        <w:rPr>
          <w:rFonts w:ascii="Helvetica" w:hAnsi="Helvetica"/>
        </w:rPr>
        <w:t xml:space="preserve"> Consigliere, Camera di Commercio di Pordenone e Udine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Federico Pinza</w:t>
      </w:r>
      <w:r w:rsidR="00F427D4">
        <w:rPr>
          <w:rFonts w:ascii="Helvetica" w:hAnsi="Helvetica"/>
        </w:rPr>
        <w:t>,</w:t>
      </w:r>
      <w:r w:rsidR="00F427D4" w:rsidRPr="00F427D4">
        <w:rPr>
          <w:rFonts w:ascii="Helvetica" w:hAnsi="Helvetica"/>
        </w:rPr>
        <w:t xml:space="preserve"> Presidente AMA Associazione Mediterranea Acquacoltori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Matteo Leonardi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</w:rPr>
        <w:t>Presidente API Associazione Piscicoltori Italiani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Dario Bond</w:t>
      </w:r>
      <w:r w:rsidR="00F427D4">
        <w:rPr>
          <w:rFonts w:ascii="Helvetica" w:hAnsi="Helvetica"/>
        </w:rPr>
        <w:t>,</w:t>
      </w:r>
      <w:r w:rsidR="00F427D4" w:rsidRPr="00F427D4">
        <w:rPr>
          <w:rFonts w:ascii="Helvetica" w:hAnsi="Helvetica"/>
        </w:rPr>
        <w:t xml:space="preserve"> Assessore Agricoltura, Foreste, Montagna, Politiche Venatorie e Pesca Regione Veneto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Stefano Zannier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</w:rPr>
        <w:t>Assessore Risorse agroalimentari, forestali e ittiche R</w:t>
      </w:r>
      <w:r w:rsidR="00F427D4">
        <w:rPr>
          <w:rFonts w:ascii="Helvetica" w:hAnsi="Helvetica"/>
        </w:rPr>
        <w:t xml:space="preserve">egione </w:t>
      </w:r>
      <w:r w:rsidR="00F427D4" w:rsidRPr="00F427D4">
        <w:rPr>
          <w:rFonts w:ascii="Helvetica" w:hAnsi="Helvetica"/>
        </w:rPr>
        <w:t>Friuli Venezia Giulia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Anna Maria Cisint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</w:rPr>
        <w:t>Europarlamentare e membro della commissione Pesca del Parlamento Europeo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  <w:b/>
          <w:bCs/>
        </w:rPr>
        <w:t>Graziella Romito</w:t>
      </w:r>
      <w:r w:rsidR="00F427D4">
        <w:rPr>
          <w:rFonts w:ascii="Helvetica" w:hAnsi="Helvetica"/>
        </w:rPr>
        <w:t xml:space="preserve">, direttrice generale della Pesca e dell’Acquacoltura per il Ministero dell’Agricoltura, </w:t>
      </w:r>
      <w:r w:rsidR="00F427D4" w:rsidRPr="00F427D4">
        <w:rPr>
          <w:rFonts w:ascii="Helvetica" w:hAnsi="Helvetica"/>
        </w:rPr>
        <w:t>della sovranità alimentare e delle foreste</w:t>
      </w:r>
      <w:r w:rsidR="00F427D4">
        <w:rPr>
          <w:rFonts w:ascii="Helvetica" w:hAnsi="Helvetica"/>
        </w:rPr>
        <w:t xml:space="preserve">. A conclusione degli interventi ci sarà il video messaggio di </w:t>
      </w:r>
      <w:r w:rsidR="00F427D4" w:rsidRPr="00F427D4">
        <w:rPr>
          <w:rFonts w:ascii="Helvetica" w:hAnsi="Helvetica"/>
          <w:b/>
          <w:bCs/>
        </w:rPr>
        <w:t>Francesco Lollobrigida</w:t>
      </w:r>
      <w:r w:rsidR="00F427D4">
        <w:rPr>
          <w:rFonts w:ascii="Helvetica" w:hAnsi="Helvetica"/>
        </w:rPr>
        <w:t xml:space="preserve">, </w:t>
      </w:r>
      <w:r w:rsidR="00F427D4" w:rsidRPr="00F427D4">
        <w:rPr>
          <w:rFonts w:ascii="Helvetica" w:hAnsi="Helvetica"/>
        </w:rPr>
        <w:t>Ministro</w:t>
      </w:r>
      <w:r w:rsidR="00F427D4">
        <w:rPr>
          <w:rFonts w:ascii="Helvetica" w:hAnsi="Helvetica"/>
        </w:rPr>
        <w:t xml:space="preserve"> </w:t>
      </w:r>
      <w:r w:rsidR="00F427D4" w:rsidRPr="00F427D4">
        <w:rPr>
          <w:rFonts w:ascii="Helvetica" w:hAnsi="Helvetica"/>
        </w:rPr>
        <w:t>dell'agricoltura, della sovranità alimentare e delle foreste</w:t>
      </w:r>
      <w:r w:rsidR="00F427D4">
        <w:rPr>
          <w:rFonts w:ascii="Helvetica" w:hAnsi="Helvetica"/>
        </w:rPr>
        <w:t>. G</w:t>
      </w:r>
      <w:r>
        <w:rPr>
          <w:rFonts w:ascii="Helvetica" w:hAnsi="Helvetica"/>
        </w:rPr>
        <w:t xml:space="preserve">iovedì 19 febbraio il </w:t>
      </w:r>
      <w:r>
        <w:rPr>
          <w:rFonts w:ascii="Helvetica" w:hAnsi="Helvetica"/>
          <w:b/>
          <w:bCs/>
        </w:rPr>
        <w:t>Ministro della Protezione Civile e delle Politiche del Mare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 xml:space="preserve">Nello Musumeci </w:t>
      </w:r>
      <w:r>
        <w:rPr>
          <w:rFonts w:ascii="Helvetica" w:hAnsi="Helvetica"/>
        </w:rPr>
        <w:t xml:space="preserve">e il suo capo di Gabinetto, </w:t>
      </w:r>
      <w:r>
        <w:rPr>
          <w:rFonts w:ascii="Helvetica" w:hAnsi="Helvetica"/>
          <w:b/>
          <w:bCs/>
        </w:rPr>
        <w:t>Riccardo Rigillo</w:t>
      </w:r>
      <w:r>
        <w:rPr>
          <w:rFonts w:ascii="Helvetica" w:hAnsi="Helvetica"/>
        </w:rPr>
        <w:t xml:space="preserve">, apriranno la sessione sul prodotto finito dal titolo: “Potenziare il prodotto ittico dall’acqua al consumatore”. </w:t>
      </w:r>
    </w:p>
    <w:p w14:paraId="64240E8C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</w:p>
    <w:p w14:paraId="564F1029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La sessione di apertura del primo giorno di Fiera tratterà di decarbonizzazione, sostenibilità e sostegno dell’acquacoltura. con la partecipazione di </w:t>
      </w:r>
      <w:r>
        <w:rPr>
          <w:rFonts w:ascii="Helvetica" w:hAnsi="Helvetica"/>
          <w:b/>
          <w:bCs/>
        </w:rPr>
        <w:t xml:space="preserve">Evi Lardi, </w:t>
      </w:r>
      <w:r>
        <w:rPr>
          <w:rFonts w:ascii="Helvetica" w:hAnsi="Helvetica"/>
        </w:rPr>
        <w:t xml:space="preserve">DG Mare della </w:t>
      </w:r>
      <w:r>
        <w:rPr>
          <w:rFonts w:ascii="Helvetica" w:hAnsi="Helvetica"/>
          <w:b/>
          <w:bCs/>
        </w:rPr>
        <w:t>Commissione Europea,</w:t>
      </w:r>
      <w:r>
        <w:rPr>
          <w:rFonts w:ascii="Helvetica" w:hAnsi="Helvetica"/>
        </w:rPr>
        <w:t xml:space="preserve"> e della </w:t>
      </w:r>
      <w:r>
        <w:rPr>
          <w:rFonts w:ascii="Helvetica" w:hAnsi="Helvetica"/>
          <w:b/>
          <w:bCs/>
        </w:rPr>
        <w:t>FAO</w:t>
      </w:r>
      <w:r>
        <w:rPr>
          <w:rFonts w:ascii="Helvetica" w:hAnsi="Helvetica"/>
        </w:rPr>
        <w:t xml:space="preserve">, che ha deciso di tenere in ambito </w:t>
      </w:r>
      <w:proofErr w:type="spellStart"/>
      <w:r>
        <w:rPr>
          <w:rFonts w:ascii="Helvetica" w:hAnsi="Helvetica"/>
        </w:rPr>
        <w:t>AquaFarm</w:t>
      </w:r>
      <w:proofErr w:type="spellEnd"/>
      <w:r>
        <w:rPr>
          <w:rFonts w:ascii="Helvetica" w:hAnsi="Helvetica"/>
        </w:rPr>
        <w:t xml:space="preserve"> la tappa italiana del suo seminario itinerante sull’attuazione delle Linee guida per l’Acquacoltura Sostenibile. Nel pomeriggio da segnalare la seconda edizione del Bilaterale Italia – Spagna, organizzato dal portale spagnolo </w:t>
      </w:r>
      <w:proofErr w:type="spellStart"/>
      <w:r>
        <w:rPr>
          <w:rFonts w:ascii="Helvetica" w:hAnsi="Helvetica"/>
        </w:rPr>
        <w:t>misPeces</w:t>
      </w:r>
      <w:proofErr w:type="spellEnd"/>
      <w:r>
        <w:rPr>
          <w:rFonts w:ascii="Helvetica" w:hAnsi="Helvetica"/>
        </w:rPr>
        <w:t xml:space="preserve"> e da Fiera di Pordenone, che coinvolge le associazioni iberiche ed italiane del settore e che quest’anno avrà un tema particolarmente sentito dagli operatori delle due nazioni, “L’acquacoltura mediterranea tra </w:t>
      </w:r>
      <w:proofErr w:type="spellStart"/>
      <w:r>
        <w:rPr>
          <w:rFonts w:ascii="Helvetica" w:hAnsi="Helvetica"/>
        </w:rPr>
        <w:t>mislabeling</w:t>
      </w:r>
      <w:proofErr w:type="spellEnd"/>
      <w:r>
        <w:rPr>
          <w:rFonts w:ascii="Helvetica" w:hAnsi="Helvetica"/>
        </w:rPr>
        <w:t>: applicazione delle regole di etichettatura nel canale Ho.Re.Ca.”</w:t>
      </w:r>
    </w:p>
    <w:p w14:paraId="322BE60A" w14:textId="77777777" w:rsidR="00B27571" w:rsidRDefault="00B27571">
      <w:pPr>
        <w:jc w:val="both"/>
        <w:rPr>
          <w:rFonts w:ascii="Helvetica" w:eastAsia="Helvetica" w:hAnsi="Helvetica" w:cs="Helvetica"/>
        </w:rPr>
      </w:pPr>
    </w:p>
    <w:p w14:paraId="5924CBBF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Matteo Leonardi</w:t>
      </w:r>
      <w:r>
        <w:rPr>
          <w:rFonts w:ascii="Helvetica" w:hAnsi="Helvetica"/>
        </w:rPr>
        <w:t xml:space="preserve">, presidente di </w:t>
      </w:r>
      <w:r>
        <w:rPr>
          <w:rFonts w:ascii="Helvetica" w:hAnsi="Helvetica"/>
          <w:b/>
          <w:bCs/>
        </w:rPr>
        <w:t xml:space="preserve">API - Associazione Piscicoltori Italiani </w:t>
      </w:r>
      <w:r>
        <w:rPr>
          <w:rFonts w:ascii="Helvetica" w:hAnsi="Helvetica"/>
        </w:rPr>
        <w:t>afferma:</w:t>
      </w:r>
      <w:r>
        <w:rPr>
          <w:rFonts w:ascii="Helvetica" w:hAnsi="Helvetica"/>
          <w:i/>
          <w:iCs/>
        </w:rPr>
        <w:t xml:space="preserve"> «Le attuali sfide di sostenibilità e competitività dell'acquacoltura esigono un impegno collettivo e una responsabilità condivisa, valori fortemente promossi da API. Assicurare la tracciabilità del pesce nella ristorazione non è solo un atto di tutela del consumatore, ma un riconoscimento del valore delle imprese italiane. Più che un obbligo formale, la corretta informazione sull’origine dei prodotti è una leva strategica per far crescere l'intero settore»</w:t>
      </w:r>
      <w:r>
        <w:rPr>
          <w:rFonts w:ascii="Helvetica" w:hAnsi="Helvetica"/>
        </w:rPr>
        <w:t>.</w:t>
      </w:r>
    </w:p>
    <w:p w14:paraId="73A94E7A" w14:textId="77777777" w:rsidR="00B27571" w:rsidRDefault="00B27571">
      <w:pPr>
        <w:jc w:val="both"/>
        <w:rPr>
          <w:rFonts w:ascii="Helvetica" w:eastAsia="Helvetica" w:hAnsi="Helvetica" w:cs="Helvetica"/>
          <w:color w:val="FF0000"/>
          <w:u w:color="FF0000"/>
        </w:rPr>
      </w:pPr>
    </w:p>
    <w:p w14:paraId="64C8055F" w14:textId="77777777" w:rsidR="00F427D4" w:rsidRDefault="001E0381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In parallelo si svolge la conferenza di </w:t>
      </w:r>
      <w:proofErr w:type="spellStart"/>
      <w:r>
        <w:rPr>
          <w:rFonts w:ascii="Helvetica" w:hAnsi="Helvetica"/>
        </w:rPr>
        <w:t>AquaFishery</w:t>
      </w:r>
      <w:proofErr w:type="spellEnd"/>
      <w:r>
        <w:rPr>
          <w:rFonts w:ascii="Helvetica" w:hAnsi="Helvetica"/>
        </w:rPr>
        <w:t xml:space="preserve">, dove i protagonisti associativi del settore pesca professionale su piccola scala dibatteranno delle problematiche e dei progetti in atto per sostenere e rilanciare un segmento importantissimo per la cultura ittica italiana, anche da un punto di vista turistico e di identità alimentare. </w:t>
      </w:r>
    </w:p>
    <w:p w14:paraId="34DE6B27" w14:textId="2F54A49B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L’industria e la ricerca sono anche qui un fattore decisivo, dagli strumenti innovativi che aiutano i pescatori ad andare sui mercati sino ai nuovi metodi per abbattere la presenza di mercurio nel pescato.</w:t>
      </w:r>
      <w:r w:rsidR="00F427D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Esteso come sempre il coinvolgimento di A.M.A., l’associazione mediterranea dell’acquacoltura che riunisce gli allevatori di molluschi, con la presentazione di alcuni progetti finanziati, tra cui </w:t>
      </w:r>
      <w:proofErr w:type="spellStart"/>
      <w:r>
        <w:rPr>
          <w:rFonts w:ascii="Helvetica" w:hAnsi="Helvetica"/>
        </w:rPr>
        <w:t>Marinet</w:t>
      </w:r>
      <w:proofErr w:type="spellEnd"/>
      <w:r>
        <w:rPr>
          <w:rFonts w:ascii="Helvetica" w:hAnsi="Helvetica"/>
        </w:rPr>
        <w:t xml:space="preserve"> (che tra l’altro tratta di potenziamento dell’allevamento di ostrica piatta) e </w:t>
      </w:r>
      <w:proofErr w:type="spellStart"/>
      <w:r>
        <w:rPr>
          <w:rFonts w:ascii="Helvetica" w:hAnsi="Helvetica"/>
        </w:rPr>
        <w:t>Biobased</w:t>
      </w:r>
      <w:proofErr w:type="spellEnd"/>
      <w:r>
        <w:rPr>
          <w:rFonts w:ascii="Helvetica" w:hAnsi="Helvetica"/>
        </w:rPr>
        <w:t>.</w:t>
      </w:r>
    </w:p>
    <w:p w14:paraId="53C1913B" w14:textId="77777777" w:rsidR="00B27571" w:rsidRDefault="00B27571">
      <w:pPr>
        <w:jc w:val="both"/>
        <w:rPr>
          <w:rFonts w:ascii="Helvetica" w:eastAsia="Helvetica" w:hAnsi="Helvetica" w:cs="Helvetica"/>
        </w:rPr>
      </w:pPr>
    </w:p>
    <w:p w14:paraId="43ED6B03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  <w:i/>
          <w:iCs/>
        </w:rPr>
        <w:t xml:space="preserve">«In questa </w:t>
      </w:r>
      <w:proofErr w:type="gramStart"/>
      <w:r>
        <w:rPr>
          <w:rFonts w:ascii="Helvetica" w:hAnsi="Helvetica"/>
          <w:i/>
          <w:iCs/>
        </w:rPr>
        <w:t>9ª</w:t>
      </w:r>
      <w:proofErr w:type="gramEnd"/>
      <w:r>
        <w:rPr>
          <w:rFonts w:ascii="Helvetica" w:hAnsi="Helvetica"/>
          <w:i/>
          <w:iCs/>
        </w:rPr>
        <w:t xml:space="preserve"> edizione di </w:t>
      </w:r>
      <w:proofErr w:type="spellStart"/>
      <w:r>
        <w:rPr>
          <w:rFonts w:ascii="Helvetica" w:hAnsi="Helvetica"/>
          <w:i/>
          <w:iCs/>
        </w:rPr>
        <w:t>AquaFarm</w:t>
      </w:r>
      <w:proofErr w:type="spellEnd"/>
      <w:r>
        <w:rPr>
          <w:rFonts w:ascii="Helvetica" w:hAnsi="Helvetica"/>
          <w:i/>
          <w:iCs/>
        </w:rPr>
        <w:t xml:space="preserve"> - </w:t>
      </w:r>
      <w:r>
        <w:rPr>
          <w:rFonts w:ascii="Helvetica" w:hAnsi="Helvetica"/>
        </w:rPr>
        <w:t xml:space="preserve">afferma il Presidente dell’Associazione A.M.A., </w:t>
      </w:r>
      <w:r>
        <w:rPr>
          <w:rFonts w:ascii="Helvetica" w:hAnsi="Helvetica"/>
          <w:b/>
          <w:bCs/>
        </w:rPr>
        <w:t>Federico Pinza -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i/>
          <w:iCs/>
        </w:rPr>
        <w:t>ancora una volta viene evidenziato il ruolo centrale che il settore della molluschicoltura riveste nello sviluppo sostenibile delle produzioni acquatiche. La significativa presenza delle nostre imprese, la partecipazione a progetti nazionali e internazionali e il dialogo costante con ricercatori, istituzioni e Amministrazioni confermano la volontà del comparto di crescere, affrontare con responsabilità le sfide poste dai cambiamenti climatici e diversificare le produzioni. Tutto ciò avviene mantenendo come riferimento imprescindibile la sostenibilità ambientale e la capacità di fare sistema, elementi essenziali per costruire un futuro più equilibrato e consapevole per le nostre comunità costiere».</w:t>
      </w:r>
    </w:p>
    <w:p w14:paraId="062F1F1F" w14:textId="77777777" w:rsidR="00B27571" w:rsidRDefault="00B27571">
      <w:pPr>
        <w:jc w:val="both"/>
        <w:rPr>
          <w:rFonts w:ascii="Helvetica" w:eastAsia="Helvetica" w:hAnsi="Helvetica" w:cs="Helvetica"/>
          <w:color w:val="FF0000"/>
          <w:u w:color="FF0000"/>
        </w:rPr>
      </w:pPr>
    </w:p>
    <w:p w14:paraId="58C9913F" w14:textId="77777777" w:rsidR="00B27571" w:rsidRDefault="001E0381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Di particolare interesse nella seconda giornata, oltre alla già citata sessione istituzionale, è la tavola rotonda organizzata da Fiera di Pordenone in collaborazione con Valentina Tepidino, direttrice di </w:t>
      </w:r>
      <w:proofErr w:type="spellStart"/>
      <w:r>
        <w:rPr>
          <w:rFonts w:ascii="Helvetica" w:hAnsi="Helvetica"/>
        </w:rPr>
        <w:t>EurofishMarket</w:t>
      </w:r>
      <w:proofErr w:type="spellEnd"/>
      <w:r>
        <w:rPr>
          <w:rFonts w:ascii="Helvetica" w:hAnsi="Helvetica"/>
        </w:rPr>
        <w:t xml:space="preserve">, con la partecipazione di rappresentanti dei distributori e del catering di </w:t>
      </w:r>
      <w:proofErr w:type="gramStart"/>
      <w:r>
        <w:rPr>
          <w:rFonts w:ascii="Helvetica" w:hAnsi="Helvetica"/>
        </w:rPr>
        <w:t>comunità,  da</w:t>
      </w:r>
      <w:proofErr w:type="gramEnd"/>
      <w:r>
        <w:rPr>
          <w:rFonts w:ascii="Helvetica" w:hAnsi="Helvetica"/>
        </w:rPr>
        <w:t xml:space="preserve"> una parte, e dei produttori di acquacoltura e pesca dall’altra, per un confronto sulle condizioni di un mercato, il fuori-casa, che rappresenta ormai il 50% del consumo di prodotti ittici. Chiuderà il programma delle conferenze la doppia sessione di </w:t>
      </w:r>
      <w:proofErr w:type="spellStart"/>
      <w:r>
        <w:rPr>
          <w:rFonts w:ascii="Helvetica" w:hAnsi="Helvetica"/>
        </w:rPr>
        <w:t>AlgaeFarm</w:t>
      </w:r>
      <w:proofErr w:type="spellEnd"/>
      <w:r>
        <w:rPr>
          <w:rFonts w:ascii="Helvetica" w:hAnsi="Helvetica"/>
        </w:rPr>
        <w:t>, il cui programma è sviluppato da AISAM, l’associazione di settore, e che quest’anno tra le novità porterà una rinnovata attenzione sulle macroalghe, la cui coltivazione nel Mediterraneo è al centro della spinta, trainata dalla Commissione Europea e dalla FAO, verso l’acquacoltura rigenerativa e multi-trofica. Nell’ambito del programma delle conferenze a questo tema di stringente attualità è dedicata un’intera sessione il giorno 18, che si affianca ai più tradizionali appuntamenti sull’alimentazione funzionale e di precisione dei pesci (e degli effetti benefici che questa ha anche a livello di consumo umano) e sulle tecnologie emergenti, dove si tratterà ampiamente di intelligenza artificiale e robotica.</w:t>
      </w:r>
    </w:p>
    <w:p w14:paraId="5DE95826" w14:textId="77777777" w:rsidR="00B27571" w:rsidRDefault="001E0381">
      <w:pPr>
        <w:spacing w:line="259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Il dettaglio delle sessioni è reperibile sul sito web della manifestazione, </w:t>
      </w:r>
      <w:hyperlink r:id="rId6" w:history="1">
        <w:r>
          <w:rPr>
            <w:rStyle w:val="Link"/>
            <w:rFonts w:ascii="Helvetica" w:hAnsi="Helvetica"/>
          </w:rPr>
          <w:t>www.aquafarmexpo.it</w:t>
        </w:r>
      </w:hyperlink>
      <w:r>
        <w:rPr>
          <w:rFonts w:ascii="Helvetica" w:hAnsi="Helvetica"/>
        </w:rPr>
        <w:t xml:space="preserve"> anche possibile registrarsi gratuitamente per la partecipazione.</w:t>
      </w:r>
    </w:p>
    <w:p w14:paraId="5BE797F3" w14:textId="77777777" w:rsidR="00B27571" w:rsidRDefault="00B27571">
      <w:pPr>
        <w:jc w:val="both"/>
        <w:rPr>
          <w:rFonts w:ascii="Helvetica" w:eastAsia="Helvetica" w:hAnsi="Helvetica" w:cs="Helvetica"/>
        </w:rPr>
      </w:pPr>
    </w:p>
    <w:p w14:paraId="44C21BBF" w14:textId="77777777" w:rsidR="00F427D4" w:rsidRDefault="001E0381" w:rsidP="00F427D4">
      <w:pPr>
        <w:jc w:val="both"/>
        <w:rPr>
          <w:rFonts w:ascii="Helvetica" w:hAnsi="Helvetica"/>
          <w:i/>
          <w:iCs/>
          <w:sz w:val="18"/>
          <w:szCs w:val="18"/>
        </w:rPr>
      </w:pP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AquaFarm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 è l’unica mostra-convegno internazionale in Italia sull’acquacoltura e l’industria della pesca sostenibile, organizzata da Pordenone Fiere in collaborazione con</w:t>
      </w:r>
      <w:r>
        <w:rPr>
          <w:rFonts w:ascii="Helvetica" w:hAnsi="Helvetica"/>
          <w:b/>
          <w:bCs/>
          <w:i/>
          <w:iCs/>
          <w:sz w:val="18"/>
          <w:szCs w:val="18"/>
        </w:rPr>
        <w:t xml:space="preserve"> le associazioni del settore, </w:t>
      </w:r>
      <w:r>
        <w:rPr>
          <w:rFonts w:ascii="Helvetica" w:hAnsi="Helvetica"/>
          <w:i/>
          <w:iCs/>
          <w:sz w:val="18"/>
          <w:szCs w:val="18"/>
        </w:rPr>
        <w:t xml:space="preserve">e con </w:t>
      </w:r>
      <w:r>
        <w:rPr>
          <w:rFonts w:ascii="Helvetica" w:hAnsi="Helvetica"/>
          <w:b/>
          <w:bCs/>
          <w:i/>
          <w:iCs/>
          <w:sz w:val="18"/>
          <w:szCs w:val="18"/>
        </w:rPr>
        <w:t xml:space="preserve">Studio Comelli – </w:t>
      </w: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Conferences&amp;Communication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, che cura i contenuti delle conferenze e l’ufficio stampa. Nata nel 2017, da sempre estende la sua attenzione a tutte le aree della produzione innovativa e sostenibile di cibo. Al suo interno due aree tematiche che la accompagnano: </w:t>
      </w: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AlgaeFarm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, dedicata alla coltivazione delle microalghe e degli altri microorganismi e la nuova arrivata </w:t>
      </w: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AquaFishery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, dedicata alla pesca artigianale e professionale. La partecipazione all’evento è gratuita previa registrazione online sul sito: </w:t>
      </w:r>
      <w:hyperlink r:id="rId7" w:history="1">
        <w:r>
          <w:rPr>
            <w:rStyle w:val="Hyperlink2"/>
            <w:rFonts w:ascii="Helvetica" w:hAnsi="Helvetica"/>
          </w:rPr>
          <w:t>www.aquafarmexpo.it</w:t>
        </w:r>
      </w:hyperlink>
      <w:r w:rsidR="00F427D4">
        <w:rPr>
          <w:rFonts w:ascii="Helvetica" w:hAnsi="Helvetica"/>
          <w:i/>
          <w:iCs/>
          <w:sz w:val="18"/>
          <w:szCs w:val="18"/>
        </w:rPr>
        <w:t>.</w:t>
      </w:r>
    </w:p>
    <w:p w14:paraId="3B539CC6" w14:textId="3AD97DF6" w:rsidR="00B27571" w:rsidRPr="00F427D4" w:rsidRDefault="00F427D4" w:rsidP="00F427D4">
      <w:pPr>
        <w:rPr>
          <w:rFonts w:ascii="Helvetica" w:hAnsi="Helvetica"/>
          <w:i/>
          <w:iCs/>
          <w:sz w:val="16"/>
          <w:szCs w:val="16"/>
        </w:rPr>
      </w:pPr>
      <w:r w:rsidRPr="00F427D4">
        <w:rPr>
          <w:rFonts w:ascii="Helvetica" w:hAnsi="Helvetica"/>
          <w:i/>
          <w:iCs/>
          <w:sz w:val="16"/>
          <w:szCs w:val="16"/>
        </w:rPr>
        <w:t xml:space="preserve"> </w:t>
      </w:r>
      <w:r w:rsidR="001E0381" w:rsidRPr="00F427D4">
        <w:rPr>
          <w:rFonts w:ascii="Helvetica" w:hAnsi="Helvetica"/>
          <w:b/>
          <w:bCs/>
          <w:i/>
          <w:iCs/>
          <w:sz w:val="16"/>
          <w:szCs w:val="16"/>
        </w:rPr>
        <w:t>Uffici</w:t>
      </w:r>
      <w:r w:rsidRPr="00F427D4">
        <w:rPr>
          <w:rFonts w:ascii="Helvetica" w:hAnsi="Helvetica"/>
          <w:b/>
          <w:bCs/>
          <w:i/>
          <w:iCs/>
          <w:sz w:val="16"/>
          <w:szCs w:val="16"/>
        </w:rPr>
        <w:t xml:space="preserve">o </w:t>
      </w:r>
      <w:r w:rsidR="001E0381" w:rsidRPr="00F427D4">
        <w:rPr>
          <w:rFonts w:ascii="Helvetica" w:hAnsi="Helvetica"/>
          <w:b/>
          <w:bCs/>
          <w:i/>
          <w:iCs/>
          <w:sz w:val="16"/>
          <w:szCs w:val="16"/>
        </w:rPr>
        <w:t>stampa</w:t>
      </w:r>
      <w:r w:rsidR="001E0381" w:rsidRPr="00F427D4">
        <w:rPr>
          <w:rFonts w:ascii="Helvetica" w:eastAsia="Helvetica" w:hAnsi="Helvetica" w:cs="Helvetica"/>
          <w:b/>
          <w:bCs/>
          <w:i/>
          <w:iCs/>
          <w:sz w:val="16"/>
          <w:szCs w:val="16"/>
        </w:rPr>
        <w:br/>
      </w:r>
      <w:r w:rsidR="001E0381" w:rsidRPr="00F427D4">
        <w:rPr>
          <w:rFonts w:ascii="Helvetica" w:hAnsi="Helvetica"/>
          <w:i/>
          <w:iCs/>
          <w:sz w:val="16"/>
          <w:szCs w:val="16"/>
        </w:rPr>
        <w:t xml:space="preserve">Salvatore Bruno – Studio Comelli - </w:t>
      </w:r>
      <w:hyperlink r:id="rId8" w:history="1">
        <w:r w:rsidR="001E0381" w:rsidRPr="00F427D4">
          <w:rPr>
            <w:rStyle w:val="Hyperlink2"/>
            <w:rFonts w:ascii="Helvetica" w:hAnsi="Helvetica"/>
            <w:sz w:val="16"/>
            <w:szCs w:val="16"/>
          </w:rPr>
          <w:t>salvatore@studiocomelli.eu</w:t>
        </w:r>
      </w:hyperlink>
      <w:r w:rsidR="001E0381" w:rsidRPr="00F427D4">
        <w:rPr>
          <w:rFonts w:ascii="Helvetica" w:hAnsi="Helvetica"/>
          <w:i/>
          <w:iCs/>
          <w:sz w:val="16"/>
          <w:szCs w:val="16"/>
        </w:rPr>
        <w:t xml:space="preserve">  + 39 335 398913</w:t>
      </w:r>
      <w:r w:rsidR="001E0381" w:rsidRPr="00F427D4">
        <w:rPr>
          <w:rFonts w:ascii="Helvetica" w:hAnsi="Helvetica"/>
          <w:i/>
          <w:iCs/>
          <w:sz w:val="16"/>
          <w:szCs w:val="16"/>
        </w:rPr>
        <w:tab/>
      </w:r>
      <w:r w:rsidR="001E0381" w:rsidRPr="00F427D4">
        <w:rPr>
          <w:rFonts w:ascii="Helvetica" w:eastAsia="Helvetica" w:hAnsi="Helvetica" w:cs="Helvetica"/>
          <w:i/>
          <w:iCs/>
          <w:sz w:val="16"/>
          <w:szCs w:val="16"/>
        </w:rPr>
        <w:br/>
      </w:r>
    </w:p>
    <w:sectPr w:rsidR="00B27571" w:rsidRPr="00F427D4">
      <w:headerReference w:type="default" r:id="rId9"/>
      <w:footerReference w:type="default" r:id="rId10"/>
      <w:pgSz w:w="11900" w:h="16840"/>
      <w:pgMar w:top="3119" w:right="851" w:bottom="1985" w:left="851" w:header="992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FA3B" w14:textId="77777777" w:rsidR="005F2A61" w:rsidRDefault="005F2A61">
      <w:r>
        <w:separator/>
      </w:r>
    </w:p>
  </w:endnote>
  <w:endnote w:type="continuationSeparator" w:id="0">
    <w:p w14:paraId="7888900E" w14:textId="77777777" w:rsidR="005F2A61" w:rsidRDefault="005F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E53C" w14:textId="77777777" w:rsidR="00B27571" w:rsidRDefault="001E0381">
    <w:pPr>
      <w:spacing w:line="288" w:lineRule="auto"/>
      <w:ind w:left="7788"/>
      <w:rPr>
        <w:rFonts w:ascii="Lato" w:eastAsia="Lato" w:hAnsi="Lato" w:cs="Lato"/>
        <w:b/>
        <w:bCs/>
        <w:sz w:val="14"/>
        <w:szCs w:val="14"/>
      </w:rPr>
    </w:pPr>
    <w:r>
      <w:rPr>
        <w:rFonts w:ascii="Lato" w:eastAsia="Lato" w:hAnsi="Lato" w:cs="Lato"/>
        <w:b/>
        <w:bCs/>
        <w:sz w:val="14"/>
        <w:szCs w:val="14"/>
      </w:rPr>
      <w:t>Convegni e comunicazione a cura di:</w:t>
    </w:r>
  </w:p>
  <w:p w14:paraId="3C07FF92" w14:textId="77777777" w:rsidR="00B27571" w:rsidRDefault="001E0381">
    <w:pPr>
      <w:spacing w:line="276" w:lineRule="auto"/>
      <w:rPr>
        <w:rFonts w:ascii="Lato Light" w:eastAsia="Lato Light" w:hAnsi="Lato Light" w:cs="Lato Light"/>
        <w:sz w:val="14"/>
        <w:szCs w:val="14"/>
      </w:rPr>
    </w:pPr>
    <w:r>
      <w:rPr>
        <w:rFonts w:ascii="Lato" w:eastAsia="Lato" w:hAnsi="Lato" w:cs="Lato"/>
        <w:b/>
        <w:bCs/>
        <w:sz w:val="14"/>
        <w:szCs w:val="14"/>
      </w:rPr>
      <w:t>Pordenone Fiere S.p.a.</w:t>
    </w:r>
    <w:r>
      <w:rPr>
        <w:rFonts w:ascii="Lato Light" w:eastAsia="Lato Light" w:hAnsi="Lato Light" w:cs="Lato Light"/>
        <w:sz w:val="14"/>
        <w:szCs w:val="14"/>
      </w:rPr>
      <w:t xml:space="preserve"> - Viale Treviso 1 - 33170 Pordenone – Italy</w:t>
    </w:r>
  </w:p>
  <w:p w14:paraId="19E4568A" w14:textId="77777777" w:rsidR="00B27571" w:rsidRDefault="001E0381">
    <w:pPr>
      <w:spacing w:line="276" w:lineRule="auto"/>
      <w:rPr>
        <w:rFonts w:ascii="Lato" w:eastAsia="Lato" w:hAnsi="Lato" w:cs="Lato"/>
        <w:b/>
        <w:bCs/>
        <w:sz w:val="14"/>
        <w:szCs w:val="14"/>
        <w:lang w:val="en-US"/>
      </w:rPr>
    </w:pPr>
    <w:r>
      <w:rPr>
        <w:rFonts w:ascii="Lato Light" w:eastAsia="Lato Light" w:hAnsi="Lato Light" w:cs="Lato Light"/>
        <w:sz w:val="14"/>
        <w:szCs w:val="14"/>
        <w:lang w:val="en-US"/>
      </w:rPr>
      <w:t>Tel. +39 0434 232111 - Fax +39 0434 570415</w:t>
    </w:r>
    <w:r>
      <w:rPr>
        <w:rFonts w:ascii="Lato Light" w:eastAsia="Lato Light" w:hAnsi="Lato Light" w:cs="Lato Light"/>
        <w:sz w:val="14"/>
        <w:szCs w:val="14"/>
        <w:lang w:val="en-US"/>
      </w:rPr>
      <w:tab/>
    </w:r>
    <w:r>
      <w:rPr>
        <w:rFonts w:ascii="Lato Light" w:eastAsia="Lato Light" w:hAnsi="Lato Light" w:cs="Lato Light"/>
        <w:sz w:val="14"/>
        <w:szCs w:val="14"/>
        <w:lang w:val="en-US"/>
      </w:rPr>
      <w:tab/>
    </w:r>
  </w:p>
  <w:p w14:paraId="67D89F15" w14:textId="77777777" w:rsidR="00B27571" w:rsidRDefault="001E0381">
    <w:pPr>
      <w:spacing w:line="276" w:lineRule="auto"/>
      <w:rPr>
        <w:rFonts w:ascii="Lato Light" w:eastAsia="Lato Light" w:hAnsi="Lato Light" w:cs="Lato Light"/>
        <w:sz w:val="14"/>
        <w:szCs w:val="14"/>
        <w:lang w:val="en-US"/>
      </w:rPr>
    </w:pPr>
    <w:r>
      <w:rPr>
        <w:rFonts w:ascii="Lato Light" w:eastAsia="Lato Light" w:hAnsi="Lato Light" w:cs="Lato Light"/>
        <w:sz w:val="14"/>
        <w:szCs w:val="14"/>
        <w:lang w:val="en-US"/>
      </w:rPr>
      <w:t xml:space="preserve">pec: amministrazione@pec.fierapordenone.it  </w:t>
    </w:r>
    <w:hyperlink r:id="rId1" w:history="1">
      <w:r>
        <w:rPr>
          <w:rStyle w:val="Hyperlink1"/>
        </w:rPr>
        <w:t>www.fierapordenone.it</w:t>
      </w:r>
    </w:hyperlink>
  </w:p>
  <w:p w14:paraId="7C5BD63F" w14:textId="77777777" w:rsidR="00B27571" w:rsidRDefault="001E0381">
    <w:pPr>
      <w:spacing w:line="276" w:lineRule="auto"/>
    </w:pPr>
    <w:r>
      <w:rPr>
        <w:rFonts w:ascii="Lato Light" w:eastAsia="Lato Light" w:hAnsi="Lato Light" w:cs="Lato Light"/>
        <w:sz w:val="14"/>
        <w:szCs w:val="14"/>
        <w:lang w:val="en-US"/>
      </w:rPr>
      <w:t>P.IVA: 00076940931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9029" w14:textId="77777777" w:rsidR="005F2A61" w:rsidRDefault="005F2A61">
      <w:r>
        <w:separator/>
      </w:r>
    </w:p>
  </w:footnote>
  <w:footnote w:type="continuationSeparator" w:id="0">
    <w:p w14:paraId="5263AE09" w14:textId="77777777" w:rsidR="005F2A61" w:rsidRDefault="005F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FE05" w14:textId="77777777" w:rsidR="00B27571" w:rsidRDefault="001E0381">
    <w:pPr>
      <w:jc w:val="center"/>
      <w:rPr>
        <w:rFonts w:ascii="Lato" w:eastAsia="Lato" w:hAnsi="Lato" w:cs="Lato"/>
        <w:sz w:val="30"/>
        <w:szCs w:val="3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3863D37" wp14:editId="6698AECC">
          <wp:simplePos x="0" y="0"/>
          <wp:positionH relativeFrom="margin">
            <wp:align>left</wp:align>
          </wp:positionH>
          <wp:positionV relativeFrom="page">
            <wp:posOffset>510540</wp:posOffset>
          </wp:positionV>
          <wp:extent cx="3148716" cy="1023935"/>
          <wp:effectExtent l="0" t="0" r="0" b="0"/>
          <wp:wrapNone/>
          <wp:docPr id="700935965" name="officeArt object" descr="Immagine 1192034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192034357" descr="Immagine 1192034357"/>
                  <pic:cNvPicPr>
                    <a:picLocks noChangeAspect="1"/>
                  </pic:cNvPicPr>
                </pic:nvPicPr>
                <pic:blipFill>
                  <a:blip r:embed="rId1"/>
                  <a:srcRect t="34969" b="32512"/>
                  <a:stretch>
                    <a:fillRect/>
                  </a:stretch>
                </pic:blipFill>
                <pic:spPr>
                  <a:xfrm>
                    <a:off x="0" y="0"/>
                    <a:ext cx="3148716" cy="1023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6BCBDCE" wp14:editId="01CA5D7C">
          <wp:simplePos x="0" y="0"/>
          <wp:positionH relativeFrom="page">
            <wp:posOffset>4417059</wp:posOffset>
          </wp:positionH>
          <wp:positionV relativeFrom="page">
            <wp:posOffset>725169</wp:posOffset>
          </wp:positionV>
          <wp:extent cx="930304" cy="681415"/>
          <wp:effectExtent l="0" t="0" r="0" b="0"/>
          <wp:wrapNone/>
          <wp:docPr id="1186086045" name="officeArt object" descr="Immagine che contiene testo, Carattere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testo, Carattere, Elementi grafici, logoDescrizione generata automaticamente" descr="Immagine che contiene testo, Carattere, Elementi grafici, logo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0304" cy="681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B7102C3" wp14:editId="4983CCD5">
          <wp:simplePos x="0" y="0"/>
          <wp:positionH relativeFrom="page">
            <wp:posOffset>5645784</wp:posOffset>
          </wp:positionH>
          <wp:positionV relativeFrom="page">
            <wp:posOffset>848994</wp:posOffset>
          </wp:positionV>
          <wp:extent cx="1028087" cy="524786"/>
          <wp:effectExtent l="0" t="0" r="0" b="0"/>
          <wp:wrapNone/>
          <wp:docPr id="1090502016" name="officeArt object" descr="Immagine che contiene testo, Carattere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testo, Carattere, Elementi grafici, logoIl contenuto generato dall'IA potrebbe non essere corretto." descr="Immagine che contiene testo, Carattere, Elementi grafici, logo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8087" cy="524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6055D7A0" wp14:editId="583E0391">
              <wp:simplePos x="0" y="0"/>
              <wp:positionH relativeFrom="page">
                <wp:posOffset>534036</wp:posOffset>
              </wp:positionH>
              <wp:positionV relativeFrom="page">
                <wp:posOffset>10218420</wp:posOffset>
              </wp:positionV>
              <wp:extent cx="0" cy="12700"/>
              <wp:effectExtent l="0" t="0" r="0" b="0"/>
              <wp:wrapNone/>
              <wp:docPr id="1073741828" name="officeArt object" descr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2.1pt;margin-top:804.6pt;width:0.0pt;height:1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5E1BC7D6" wp14:editId="6ACE47BD">
          <wp:simplePos x="0" y="0"/>
          <wp:positionH relativeFrom="page">
            <wp:posOffset>5552480</wp:posOffset>
          </wp:positionH>
          <wp:positionV relativeFrom="page">
            <wp:posOffset>10499089</wp:posOffset>
          </wp:positionV>
          <wp:extent cx="1472400" cy="432000"/>
          <wp:effectExtent l="0" t="0" r="0" b="0"/>
          <wp:wrapNone/>
          <wp:docPr id="1364811640" name="officeArt object" descr="Immagine 140365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140365526" descr="Immagine 140365526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2400" cy="43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0AB0C17" w14:textId="77777777" w:rsidR="00B27571" w:rsidRDefault="00B27571">
    <w:pPr>
      <w:jc w:val="center"/>
      <w:rPr>
        <w:rFonts w:ascii="Lato" w:eastAsia="Lato" w:hAnsi="Lato" w:cs="Lato"/>
        <w:sz w:val="30"/>
        <w:szCs w:val="30"/>
      </w:rPr>
    </w:pPr>
  </w:p>
  <w:p w14:paraId="2CFB9504" w14:textId="77777777" w:rsidR="00B27571" w:rsidRDefault="00B27571"/>
  <w:p w14:paraId="4A9078F1" w14:textId="77777777" w:rsidR="00B27571" w:rsidRDefault="00B27571"/>
  <w:p w14:paraId="237CA220" w14:textId="77777777" w:rsidR="00B27571" w:rsidRDefault="001E0381">
    <w:pPr>
      <w:rPr>
        <w:rFonts w:ascii="Lato" w:eastAsia="Lato" w:hAnsi="Lato" w:cs="Lato"/>
        <w:color w:val="00B0F0"/>
        <w:sz w:val="27"/>
        <w:szCs w:val="27"/>
        <w:u w:color="00B0F0"/>
      </w:rPr>
    </w:pPr>
    <w:r>
      <w:rPr>
        <w:rFonts w:ascii="Lato" w:eastAsia="Lato" w:hAnsi="Lato" w:cs="Lato"/>
        <w:color w:val="00B0F0"/>
        <w:sz w:val="27"/>
        <w:szCs w:val="27"/>
        <w:u w:color="00B0F0"/>
      </w:rPr>
      <w:t xml:space="preserve">   </w:t>
    </w:r>
  </w:p>
  <w:p w14:paraId="7F6460AA" w14:textId="77777777" w:rsidR="00B27571" w:rsidRDefault="001E0381">
    <w:pPr>
      <w:jc w:val="center"/>
      <w:rPr>
        <w:rFonts w:ascii="Lato" w:eastAsia="Lato" w:hAnsi="Lato" w:cs="Lato"/>
        <w:sz w:val="30"/>
        <w:szCs w:val="30"/>
      </w:rPr>
    </w:pPr>
    <w:hyperlink r:id="rId5" w:history="1">
      <w:r>
        <w:rPr>
          <w:rStyle w:val="Hyperlink0"/>
        </w:rPr>
        <w:t>www.aquafarmexpo.it</w:t>
      </w:r>
    </w:hyperlink>
    <w:r>
      <w:tab/>
    </w:r>
    <w:r>
      <w:rPr>
        <w:color w:val="6A9A3D"/>
        <w:u w:color="6A9A3D"/>
      </w:rPr>
      <w:t xml:space="preserve"> </w:t>
    </w:r>
    <w:r>
      <w:rPr>
        <w:rFonts w:ascii="Lato" w:eastAsia="Lato" w:hAnsi="Lato" w:cs="Lato"/>
        <w:color w:val="2F5496"/>
        <w:sz w:val="30"/>
        <w:szCs w:val="30"/>
        <w:u w:color="2F5496"/>
      </w:rPr>
      <w:t>18 - 19 FEBBRAIO 2026, Pordenone</w:t>
    </w:r>
  </w:p>
  <w:p w14:paraId="48DD5F0E" w14:textId="77777777" w:rsidR="00B27571" w:rsidRDefault="00B27571">
    <w:pPr>
      <w:jc w:val="right"/>
      <w:rPr>
        <w:rFonts w:ascii="Lato" w:eastAsia="Lato" w:hAnsi="Lato" w:cs="Lato"/>
        <w:b/>
        <w:bCs/>
        <w:color w:val="D0CECE"/>
        <w:u w:color="D0CECE"/>
      </w:rPr>
    </w:pPr>
  </w:p>
  <w:p w14:paraId="6F947B51" w14:textId="77777777" w:rsidR="00B27571" w:rsidRDefault="001E0381">
    <w:pPr>
      <w:jc w:val="center"/>
    </w:pPr>
    <w:r>
      <w:rPr>
        <w:rFonts w:ascii="Lato" w:eastAsia="Lato" w:hAnsi="Lato" w:cs="Lato"/>
        <w:color w:val="00B0F0"/>
        <w:sz w:val="27"/>
        <w:szCs w:val="27"/>
        <w:u w:color="00B0F0"/>
      </w:rPr>
      <w:t>COMUNICATO</w:t>
    </w:r>
    <w:r>
      <w:rPr>
        <w:rFonts w:ascii="Lato" w:eastAsia="Lato" w:hAnsi="Lato" w:cs="Lato"/>
        <w:color w:val="3885B7"/>
        <w:sz w:val="27"/>
        <w:szCs w:val="27"/>
        <w:u w:color="3885B7"/>
      </w:rPr>
      <w:t xml:space="preserve">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71"/>
    <w:rsid w:val="001E0381"/>
    <w:rsid w:val="00432D02"/>
    <w:rsid w:val="005F2A61"/>
    <w:rsid w:val="00B27571"/>
    <w:rsid w:val="00DE0E80"/>
    <w:rsid w:val="00F427D4"/>
    <w:rsid w:val="00F5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BE2BC"/>
  <w15:docId w15:val="{20992A03-FAE5-4FB2-BCC1-F2D8FD7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outline w:val="0"/>
      <w:color w:val="00B050"/>
      <w:u w:val="single" w:color="00B050"/>
    </w:rPr>
  </w:style>
  <w:style w:type="character" w:customStyle="1" w:styleId="Hyperlink0">
    <w:name w:val="Hyperlink.0"/>
    <w:basedOn w:val="Link"/>
    <w:rPr>
      <w:rFonts w:ascii="Lato" w:eastAsia="Lato" w:hAnsi="Lato" w:cs="Lato"/>
      <w:outline w:val="0"/>
      <w:color w:val="2F5496"/>
      <w:sz w:val="27"/>
      <w:szCs w:val="27"/>
      <w:u w:val="single" w:color="2F5496"/>
    </w:rPr>
  </w:style>
  <w:style w:type="character" w:customStyle="1" w:styleId="Hyperlink1">
    <w:name w:val="Hyperlink.1"/>
    <w:basedOn w:val="Link"/>
    <w:rPr>
      <w:rFonts w:ascii="Lato Light" w:eastAsia="Lato Light" w:hAnsi="Lato Light" w:cs="Lato Light"/>
      <w:outline w:val="0"/>
      <w:color w:val="00B050"/>
      <w:sz w:val="14"/>
      <w:szCs w:val="14"/>
      <w:u w:val="single" w:color="00B050"/>
      <w:lang w:val="en-US"/>
    </w:rPr>
  </w:style>
  <w:style w:type="character" w:customStyle="1" w:styleId="Hyperlink2">
    <w:name w:val="Hyperlink.2"/>
    <w:basedOn w:val="Link"/>
    <w:rPr>
      <w:i/>
      <w:iCs/>
      <w:outline w:val="0"/>
      <w:color w:val="00B050"/>
      <w:sz w:val="18"/>
      <w:szCs w:val="18"/>
      <w:u w:val="single" w:color="00B050"/>
    </w:rPr>
  </w:style>
  <w:style w:type="paragraph" w:styleId="Revisione">
    <w:name w:val="Revision"/>
    <w:hidden/>
    <w:uiPriority w:val="99"/>
    <w:semiHidden/>
    <w:rsid w:val="00F42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F427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7D4"/>
    <w:rPr>
      <w:rFonts w:ascii="Calibri" w:hAnsi="Calibri"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27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7D4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vatore@studiocomelli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quafarmexp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uafarmexp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raporden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aquafarmexpo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Maldarelli</cp:lastModifiedBy>
  <cp:revision>3</cp:revision>
  <dcterms:created xsi:type="dcterms:W3CDTF">2026-02-17T13:17:00Z</dcterms:created>
  <dcterms:modified xsi:type="dcterms:W3CDTF">2026-02-17T14:08:00Z</dcterms:modified>
</cp:coreProperties>
</file>