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21F5" w14:textId="77777777" w:rsidR="003A0C78" w:rsidRDefault="003A0C78">
      <w:pPr>
        <w:pStyle w:val="Normal0"/>
        <w:jc w:val="center"/>
        <w:rPr>
          <w:rStyle w:val="Nessuno"/>
          <w:rFonts w:ascii="Helvetica" w:eastAsia="Helvetica" w:hAnsi="Helvetica" w:cs="Helvetica"/>
          <w:b/>
          <w:bCs/>
          <w:sz w:val="32"/>
          <w:szCs w:val="32"/>
        </w:rPr>
      </w:pPr>
    </w:p>
    <w:p w14:paraId="79B19B07" w14:textId="062A3D44" w:rsidR="003A0C78" w:rsidRDefault="008B3D55">
      <w:pPr>
        <w:pStyle w:val="Normal0"/>
        <w:spacing w:line="259" w:lineRule="auto"/>
        <w:jc w:val="center"/>
        <w:rPr>
          <w:rStyle w:val="Nessuno"/>
          <w:rFonts w:ascii="Helvetica" w:eastAsia="Helvetica" w:hAnsi="Helvetica" w:cs="Helvetica"/>
          <w:b/>
          <w:bCs/>
          <w:sz w:val="32"/>
          <w:szCs w:val="32"/>
        </w:rPr>
      </w:pPr>
      <w:r w:rsidRPr="008B3D55">
        <w:rPr>
          <w:rStyle w:val="Nessuno"/>
          <w:rFonts w:ascii="Helvetica" w:hAnsi="Helvetica"/>
          <w:b/>
          <w:bCs/>
          <w:sz w:val="32"/>
          <w:szCs w:val="32"/>
        </w:rPr>
        <w:t>AquaFarm 2026: the world of aquaculture gathered in Pordenone with over 2</w:t>
      </w:r>
      <w:r>
        <w:rPr>
          <w:rStyle w:val="Nessuno"/>
          <w:rFonts w:ascii="Helvetica" w:hAnsi="Helvetica"/>
          <w:b/>
          <w:bCs/>
          <w:sz w:val="32"/>
          <w:szCs w:val="32"/>
        </w:rPr>
        <w:t>.</w:t>
      </w:r>
      <w:r w:rsidRPr="008B3D55">
        <w:rPr>
          <w:rStyle w:val="Nessuno"/>
          <w:rFonts w:ascii="Helvetica" w:hAnsi="Helvetica"/>
          <w:b/>
          <w:bCs/>
          <w:sz w:val="32"/>
          <w:szCs w:val="32"/>
        </w:rPr>
        <w:t>000 participants</w:t>
      </w:r>
    </w:p>
    <w:p w14:paraId="2D955261" w14:textId="77777777" w:rsidR="003A0C78" w:rsidRDefault="003A0C78">
      <w:pPr>
        <w:pStyle w:val="Normal0"/>
        <w:spacing w:line="259" w:lineRule="auto"/>
        <w:jc w:val="center"/>
        <w:rPr>
          <w:rFonts w:ascii="Helvetica" w:eastAsia="Helvetica" w:hAnsi="Helvetica" w:cs="Helvetica"/>
          <w:sz w:val="32"/>
          <w:szCs w:val="32"/>
        </w:rPr>
      </w:pPr>
    </w:p>
    <w:p w14:paraId="2515A339" w14:textId="77777777" w:rsidR="00414079" w:rsidRDefault="008B3D55">
      <w:pPr>
        <w:pStyle w:val="Normal0"/>
        <w:jc w:val="center"/>
        <w:rPr>
          <w:rStyle w:val="Nessuno"/>
          <w:rFonts w:ascii="Helvetica" w:hAnsi="Helvetica"/>
          <w:i/>
          <w:iCs/>
          <w:sz w:val="26"/>
          <w:szCs w:val="26"/>
        </w:rPr>
      </w:pPr>
      <w:r w:rsidRPr="008B3D55">
        <w:rPr>
          <w:rStyle w:val="Nessuno"/>
          <w:rFonts w:ascii="Helvetica" w:hAnsi="Helvetica"/>
          <w:i/>
          <w:iCs/>
          <w:sz w:val="26"/>
          <w:szCs w:val="26"/>
        </w:rPr>
        <w:t>AquaFarm confirmed its 2025 attendance figures with more than 2</w:t>
      </w:r>
      <w:r>
        <w:rPr>
          <w:rStyle w:val="Nessuno"/>
          <w:rFonts w:ascii="Helvetica" w:hAnsi="Helvetica"/>
          <w:i/>
          <w:iCs/>
          <w:sz w:val="26"/>
          <w:szCs w:val="26"/>
        </w:rPr>
        <w:t>.</w:t>
      </w:r>
      <w:r w:rsidRPr="008B3D55">
        <w:rPr>
          <w:rStyle w:val="Nessuno"/>
          <w:rFonts w:ascii="Helvetica" w:hAnsi="Helvetica"/>
          <w:i/>
          <w:iCs/>
          <w:sz w:val="26"/>
          <w:szCs w:val="26"/>
        </w:rPr>
        <w:t>000 participants.</w:t>
      </w:r>
    </w:p>
    <w:p w14:paraId="54863060" w14:textId="6AABB792" w:rsidR="003A0C78" w:rsidRDefault="008B3D55">
      <w:pPr>
        <w:pStyle w:val="Normal0"/>
        <w:jc w:val="center"/>
        <w:rPr>
          <w:rStyle w:val="Nessuno"/>
          <w:rFonts w:ascii="Helvetica" w:eastAsia="Helvetica" w:hAnsi="Helvetica" w:cs="Helvetica"/>
          <w:i/>
          <w:iCs/>
          <w:sz w:val="26"/>
          <w:szCs w:val="26"/>
        </w:rPr>
      </w:pPr>
      <w:r>
        <w:rPr>
          <w:rStyle w:val="Nessuno"/>
          <w:rFonts w:ascii="Helvetica" w:hAnsi="Helvetica"/>
          <w:i/>
          <w:iCs/>
          <w:sz w:val="26"/>
          <w:szCs w:val="26"/>
        </w:rPr>
        <w:t xml:space="preserve"> </w:t>
      </w:r>
      <w:r w:rsidR="00414079">
        <w:rPr>
          <w:rStyle w:val="Nessuno"/>
          <w:rFonts w:ascii="Helvetica" w:hAnsi="Helvetica"/>
          <w:i/>
          <w:iCs/>
          <w:sz w:val="26"/>
          <w:szCs w:val="26"/>
        </w:rPr>
        <w:t>N</w:t>
      </w:r>
      <w:r w:rsidRPr="008B3D55">
        <w:rPr>
          <w:rStyle w:val="Nessuno"/>
          <w:rFonts w:ascii="Helvetica" w:hAnsi="Helvetica"/>
          <w:i/>
          <w:iCs/>
          <w:sz w:val="26"/>
          <w:szCs w:val="26"/>
        </w:rPr>
        <w:t>ew</w:t>
      </w:r>
      <w:r>
        <w:rPr>
          <w:rStyle w:val="Nessuno"/>
          <w:rFonts w:ascii="Helvetica" w:hAnsi="Helvetica"/>
          <w:i/>
          <w:iCs/>
          <w:sz w:val="26"/>
          <w:szCs w:val="26"/>
        </w:rPr>
        <w:t xml:space="preserve"> feature of</w:t>
      </w:r>
      <w:r w:rsidRPr="008B3D55">
        <w:rPr>
          <w:rStyle w:val="Nessuno"/>
          <w:rFonts w:ascii="Helvetica" w:hAnsi="Helvetica"/>
          <w:i/>
          <w:iCs/>
          <w:sz w:val="26"/>
          <w:szCs w:val="26"/>
        </w:rPr>
        <w:t xml:space="preserve"> this year the first edition of AquaFishery, the event dedicated to artisanal and professional fishing.</w:t>
      </w:r>
    </w:p>
    <w:p w14:paraId="3AFAA43F" w14:textId="77777777" w:rsidR="003A0C78" w:rsidRDefault="003A0C78">
      <w:pPr>
        <w:pStyle w:val="Normal0"/>
        <w:jc w:val="center"/>
        <w:rPr>
          <w:rFonts w:ascii="Helvetica" w:eastAsia="Helvetica" w:hAnsi="Helvetica" w:cs="Helvetica"/>
          <w:sz w:val="22"/>
          <w:szCs w:val="22"/>
        </w:rPr>
      </w:pPr>
    </w:p>
    <w:p w14:paraId="6FC56118" w14:textId="6918B3AE" w:rsidR="008B3D55" w:rsidRDefault="008B3D55">
      <w:pPr>
        <w:pStyle w:val="Normal0"/>
        <w:jc w:val="both"/>
        <w:rPr>
          <w:rFonts w:ascii="Helvetica" w:eastAsia="Helvetica" w:hAnsi="Helvetica" w:cs="Helvetica"/>
          <w:sz w:val="22"/>
          <w:szCs w:val="22"/>
        </w:rPr>
      </w:pPr>
      <w:r w:rsidRPr="008B3D55">
        <w:rPr>
          <w:rFonts w:ascii="Helvetica" w:eastAsia="Helvetica" w:hAnsi="Helvetica" w:cs="Helvetica"/>
          <w:b/>
          <w:bCs/>
          <w:sz w:val="22"/>
          <w:szCs w:val="22"/>
        </w:rPr>
        <w:t>Pordenone, 02 March 2026</w:t>
      </w:r>
      <w:r w:rsidRPr="008B3D55">
        <w:rPr>
          <w:rFonts w:ascii="Helvetica" w:eastAsia="Helvetica" w:hAnsi="Helvetica" w:cs="Helvetica"/>
          <w:sz w:val="22"/>
          <w:szCs w:val="22"/>
        </w:rPr>
        <w:t xml:space="preserve"> – The 9th edition of </w:t>
      </w:r>
      <w:r w:rsidRPr="008B3D55">
        <w:rPr>
          <w:rFonts w:ascii="Helvetica" w:eastAsia="Helvetica" w:hAnsi="Helvetica" w:cs="Helvetica"/>
          <w:b/>
          <w:bCs/>
          <w:sz w:val="22"/>
          <w:szCs w:val="22"/>
        </w:rPr>
        <w:t>AquaFarm</w:t>
      </w:r>
      <w:r w:rsidRPr="008B3D55">
        <w:rPr>
          <w:rFonts w:ascii="Helvetica" w:eastAsia="Helvetica" w:hAnsi="Helvetica" w:cs="Helvetica"/>
          <w:sz w:val="22"/>
          <w:szCs w:val="22"/>
        </w:rPr>
        <w:t>, the international</w:t>
      </w:r>
      <w:r>
        <w:rPr>
          <w:rFonts w:ascii="Helvetica" w:eastAsia="Helvetica" w:hAnsi="Helvetica" w:cs="Helvetica"/>
          <w:sz w:val="22"/>
          <w:szCs w:val="22"/>
        </w:rPr>
        <w:t xml:space="preserve"> </w:t>
      </w:r>
      <w:r w:rsidRPr="008B3D55">
        <w:rPr>
          <w:rFonts w:ascii="Helvetica" w:eastAsia="Helvetica" w:hAnsi="Helvetica" w:cs="Helvetica"/>
          <w:sz w:val="22"/>
          <w:szCs w:val="22"/>
        </w:rPr>
        <w:t>conference</w:t>
      </w:r>
      <w:r>
        <w:rPr>
          <w:rFonts w:ascii="Helvetica" w:eastAsia="Helvetica" w:hAnsi="Helvetica" w:cs="Helvetica"/>
          <w:sz w:val="22"/>
          <w:szCs w:val="22"/>
        </w:rPr>
        <w:t xml:space="preserve"> and trade show</w:t>
      </w:r>
      <w:r w:rsidRPr="008B3D55">
        <w:rPr>
          <w:rFonts w:ascii="Helvetica" w:eastAsia="Helvetica" w:hAnsi="Helvetica" w:cs="Helvetica"/>
          <w:sz w:val="22"/>
          <w:szCs w:val="22"/>
        </w:rPr>
        <w:t xml:space="preserve"> dedicated to aquaculture, shellfish farming, artisanal and small-scale fishing, and </w:t>
      </w:r>
      <w:r>
        <w:rPr>
          <w:rFonts w:ascii="Helvetica" w:eastAsia="Helvetica" w:hAnsi="Helvetica" w:cs="Helvetica"/>
          <w:sz w:val="22"/>
          <w:szCs w:val="22"/>
        </w:rPr>
        <w:t>algaculture</w:t>
      </w:r>
      <w:r w:rsidRPr="008B3D55">
        <w:rPr>
          <w:rFonts w:ascii="Helvetica" w:eastAsia="Helvetica" w:hAnsi="Helvetica" w:cs="Helvetica"/>
          <w:sz w:val="22"/>
          <w:szCs w:val="22"/>
        </w:rPr>
        <w:t xml:space="preserve">, held at </w:t>
      </w:r>
      <w:r w:rsidRPr="008B3D55">
        <w:rPr>
          <w:rFonts w:ascii="Helvetica" w:eastAsia="Helvetica" w:hAnsi="Helvetica" w:cs="Helvetica"/>
          <w:b/>
          <w:bCs/>
          <w:sz w:val="22"/>
          <w:szCs w:val="22"/>
        </w:rPr>
        <w:t>Pordenone Expo Centre</w:t>
      </w:r>
      <w:r w:rsidRPr="008B3D55">
        <w:rPr>
          <w:rFonts w:ascii="Helvetica" w:eastAsia="Helvetica" w:hAnsi="Helvetica" w:cs="Helvetica"/>
          <w:sz w:val="22"/>
          <w:szCs w:val="22"/>
        </w:rPr>
        <w:t>, has come to a close.</w:t>
      </w:r>
    </w:p>
    <w:p w14:paraId="4344730B" w14:textId="77777777" w:rsidR="008B3D55" w:rsidRDefault="008B3D55">
      <w:pPr>
        <w:pStyle w:val="Normal0"/>
        <w:jc w:val="both"/>
        <w:rPr>
          <w:rFonts w:ascii="Helvetica" w:eastAsia="Helvetica" w:hAnsi="Helvetica" w:cs="Helvetica"/>
          <w:sz w:val="22"/>
          <w:szCs w:val="22"/>
        </w:rPr>
      </w:pPr>
    </w:p>
    <w:p w14:paraId="789D85E9" w14:textId="77777777" w:rsidR="003A0C78" w:rsidRDefault="003A0C78">
      <w:pPr>
        <w:pStyle w:val="Normal0"/>
        <w:jc w:val="both"/>
        <w:rPr>
          <w:rFonts w:ascii="Helvetica" w:eastAsia="Helvetica" w:hAnsi="Helvetica" w:cs="Helvetica"/>
          <w:sz w:val="22"/>
          <w:szCs w:val="22"/>
        </w:rPr>
      </w:pPr>
    </w:p>
    <w:p w14:paraId="5590ABD0" w14:textId="7EBB880B" w:rsidR="008B3D55" w:rsidRPr="008B3D55" w:rsidRDefault="008B3D55">
      <w:pPr>
        <w:pStyle w:val="Normal0"/>
        <w:jc w:val="both"/>
        <w:rPr>
          <w:rFonts w:ascii="Helvetica" w:eastAsia="Helvetica" w:hAnsi="Helvetica" w:cs="Helvetica"/>
          <w:b/>
          <w:bCs/>
          <w:sz w:val="22"/>
          <w:szCs w:val="22"/>
        </w:rPr>
      </w:pPr>
      <w:r w:rsidRPr="008B3D55">
        <w:rPr>
          <w:rFonts w:ascii="Helvetica" w:eastAsia="Helvetica" w:hAnsi="Helvetica" w:cs="Helvetica"/>
          <w:sz w:val="22"/>
          <w:szCs w:val="22"/>
        </w:rPr>
        <w:t xml:space="preserve">Once again this year, the event proved to be a benchmark for the aquaculture market, attracting </w:t>
      </w:r>
      <w:r w:rsidRPr="008B3D55">
        <w:rPr>
          <w:rFonts w:ascii="Helvetica" w:eastAsia="Helvetica" w:hAnsi="Helvetica" w:cs="Helvetica"/>
          <w:b/>
          <w:bCs/>
          <w:sz w:val="22"/>
          <w:szCs w:val="22"/>
        </w:rPr>
        <w:t>over</w:t>
      </w:r>
      <w:r w:rsidRPr="008B3D55">
        <w:rPr>
          <w:rFonts w:ascii="Helvetica" w:eastAsia="Helvetica" w:hAnsi="Helvetica" w:cs="Helvetica"/>
          <w:sz w:val="22"/>
          <w:szCs w:val="22"/>
        </w:rPr>
        <w:t xml:space="preserve"> </w:t>
      </w:r>
      <w:r w:rsidRPr="008B3D55">
        <w:rPr>
          <w:rFonts w:ascii="Helvetica" w:eastAsia="Helvetica" w:hAnsi="Helvetica" w:cs="Helvetica"/>
          <w:b/>
          <w:bCs/>
          <w:sz w:val="22"/>
          <w:szCs w:val="22"/>
        </w:rPr>
        <w:t>2.000 participants</w:t>
      </w:r>
      <w:r w:rsidRPr="008B3D55">
        <w:rPr>
          <w:rFonts w:ascii="Helvetica" w:eastAsia="Helvetica" w:hAnsi="Helvetica" w:cs="Helvetica"/>
          <w:sz w:val="22"/>
          <w:szCs w:val="22"/>
        </w:rPr>
        <w:t xml:space="preserve"> and offering a packed programme of conferences with </w:t>
      </w:r>
      <w:r w:rsidRPr="008B3D55">
        <w:rPr>
          <w:rFonts w:ascii="Helvetica" w:eastAsia="Helvetica" w:hAnsi="Helvetica" w:cs="Helvetica"/>
          <w:b/>
          <w:bCs/>
          <w:sz w:val="22"/>
          <w:szCs w:val="22"/>
        </w:rPr>
        <w:t>25 working sessions</w:t>
      </w:r>
      <w:r w:rsidRPr="008B3D55">
        <w:rPr>
          <w:rFonts w:ascii="Helvetica" w:eastAsia="Helvetica" w:hAnsi="Helvetica" w:cs="Helvetica"/>
          <w:sz w:val="22"/>
          <w:szCs w:val="22"/>
        </w:rPr>
        <w:t xml:space="preserve">, alongside a large international exhibition area covering </w:t>
      </w:r>
      <w:r w:rsidRPr="008B3D55">
        <w:rPr>
          <w:rFonts w:ascii="Helvetica" w:eastAsia="Helvetica" w:hAnsi="Helvetica" w:cs="Helvetica"/>
          <w:b/>
          <w:bCs/>
          <w:sz w:val="22"/>
          <w:szCs w:val="22"/>
        </w:rPr>
        <w:t>6.000 square metres</w:t>
      </w:r>
      <w:r w:rsidRPr="008B3D55">
        <w:rPr>
          <w:rFonts w:ascii="Helvetica" w:eastAsia="Helvetica" w:hAnsi="Helvetica" w:cs="Helvetica"/>
          <w:sz w:val="22"/>
          <w:szCs w:val="22"/>
        </w:rPr>
        <w:t xml:space="preserve"> with over </w:t>
      </w:r>
      <w:r w:rsidRPr="008B3D55">
        <w:rPr>
          <w:rFonts w:ascii="Helvetica" w:eastAsia="Helvetica" w:hAnsi="Helvetica" w:cs="Helvetica"/>
          <w:b/>
          <w:bCs/>
          <w:sz w:val="22"/>
          <w:szCs w:val="22"/>
        </w:rPr>
        <w:t>120 exhibitors and brands.</w:t>
      </w:r>
    </w:p>
    <w:p w14:paraId="4FD9E07A" w14:textId="77777777" w:rsidR="003A0C78" w:rsidRDefault="003A0C78">
      <w:pPr>
        <w:pStyle w:val="Normal0"/>
        <w:rPr>
          <w:rFonts w:ascii="Helvetica" w:eastAsia="Helvetica" w:hAnsi="Helvetica" w:cs="Helvetica"/>
          <w:sz w:val="22"/>
          <w:szCs w:val="22"/>
        </w:rPr>
      </w:pPr>
    </w:p>
    <w:p w14:paraId="3FDCE170" w14:textId="4D0B7DDD" w:rsidR="00014A08" w:rsidRPr="00014A08" w:rsidRDefault="00014A08" w:rsidP="00014A08">
      <w:pPr>
        <w:pStyle w:val="Normal0"/>
        <w:jc w:val="both"/>
        <w:rPr>
          <w:rFonts w:ascii="Helvetica" w:hAnsi="Helvetica"/>
          <w:sz w:val="22"/>
          <w:szCs w:val="22"/>
        </w:rPr>
      </w:pPr>
      <w:r w:rsidRPr="00014A08">
        <w:rPr>
          <w:rFonts w:ascii="Helvetica" w:hAnsi="Helvetica"/>
          <w:sz w:val="22"/>
          <w:szCs w:val="22"/>
        </w:rPr>
        <w:t xml:space="preserve">The opening session on the first day of the </w:t>
      </w:r>
      <w:r>
        <w:rPr>
          <w:rFonts w:ascii="Helvetica" w:hAnsi="Helvetica"/>
          <w:sz w:val="22"/>
          <w:szCs w:val="22"/>
        </w:rPr>
        <w:t>exhibition</w:t>
      </w:r>
      <w:r w:rsidRPr="00014A08">
        <w:rPr>
          <w:rFonts w:ascii="Helvetica" w:hAnsi="Helvetica"/>
          <w:sz w:val="22"/>
          <w:szCs w:val="22"/>
        </w:rPr>
        <w:t xml:space="preserve"> focused on decarbonisation, sustainability and support for aquaculture. Introduced by the </w:t>
      </w:r>
      <w:r w:rsidRPr="00014A08">
        <w:rPr>
          <w:rFonts w:ascii="Helvetica" w:hAnsi="Helvetica"/>
          <w:b/>
          <w:bCs/>
          <w:sz w:val="22"/>
          <w:szCs w:val="22"/>
        </w:rPr>
        <w:t>President of Pordenone Fiere, Renato Pujatti</w:t>
      </w:r>
      <w:r w:rsidRPr="00014A08">
        <w:rPr>
          <w:rFonts w:ascii="Helvetica" w:hAnsi="Helvetica"/>
          <w:sz w:val="22"/>
          <w:szCs w:val="22"/>
        </w:rPr>
        <w:t xml:space="preserve">, with speeches by </w:t>
      </w:r>
      <w:r w:rsidRPr="00014A08">
        <w:rPr>
          <w:rFonts w:ascii="Helvetica" w:hAnsi="Helvetica"/>
          <w:b/>
          <w:bCs/>
          <w:sz w:val="22"/>
          <w:szCs w:val="22"/>
        </w:rPr>
        <w:t xml:space="preserve">Federico Pinza </w:t>
      </w:r>
      <w:r w:rsidRPr="00014A08">
        <w:rPr>
          <w:rFonts w:ascii="Helvetica" w:hAnsi="Helvetica"/>
          <w:sz w:val="22"/>
          <w:szCs w:val="22"/>
        </w:rPr>
        <w:t xml:space="preserve">and </w:t>
      </w:r>
      <w:r w:rsidRPr="00014A08">
        <w:rPr>
          <w:rFonts w:ascii="Helvetica" w:hAnsi="Helvetica"/>
          <w:b/>
          <w:bCs/>
          <w:sz w:val="22"/>
          <w:szCs w:val="22"/>
        </w:rPr>
        <w:t>Matteo Leonardi</w:t>
      </w:r>
      <w:r w:rsidRPr="00014A08">
        <w:rPr>
          <w:rFonts w:ascii="Helvetica" w:hAnsi="Helvetica"/>
          <w:sz w:val="22"/>
          <w:szCs w:val="22"/>
        </w:rPr>
        <w:t xml:space="preserve">, presidents of </w:t>
      </w:r>
      <w:r w:rsidRPr="00014A08">
        <w:rPr>
          <w:rFonts w:ascii="Helvetica" w:hAnsi="Helvetica"/>
          <w:b/>
          <w:bCs/>
          <w:sz w:val="22"/>
          <w:szCs w:val="22"/>
        </w:rPr>
        <w:t xml:space="preserve">AMA </w:t>
      </w:r>
      <w:r w:rsidRPr="00014A08">
        <w:rPr>
          <w:rFonts w:ascii="Helvetica" w:hAnsi="Helvetica"/>
          <w:sz w:val="22"/>
          <w:szCs w:val="22"/>
        </w:rPr>
        <w:t xml:space="preserve">and </w:t>
      </w:r>
      <w:r w:rsidRPr="00014A08">
        <w:rPr>
          <w:rFonts w:ascii="Helvetica" w:hAnsi="Helvetica"/>
          <w:b/>
          <w:bCs/>
          <w:sz w:val="22"/>
          <w:szCs w:val="22"/>
        </w:rPr>
        <w:t>API</w:t>
      </w:r>
      <w:r w:rsidRPr="00014A08">
        <w:rPr>
          <w:rFonts w:ascii="Helvetica" w:hAnsi="Helvetica"/>
          <w:sz w:val="22"/>
          <w:szCs w:val="22"/>
        </w:rPr>
        <w:t xml:space="preserve"> respectively, it featured contributions from: </w:t>
      </w:r>
      <w:r w:rsidRPr="00014A08">
        <w:rPr>
          <w:rFonts w:ascii="Helvetica" w:hAnsi="Helvetica"/>
          <w:b/>
          <w:bCs/>
          <w:sz w:val="22"/>
          <w:szCs w:val="22"/>
        </w:rPr>
        <w:t>Evi Lardi</w:t>
      </w:r>
      <w:r w:rsidRPr="00014A08">
        <w:rPr>
          <w:rFonts w:ascii="Helvetica" w:hAnsi="Helvetica"/>
          <w:sz w:val="22"/>
          <w:szCs w:val="22"/>
        </w:rPr>
        <w:t xml:space="preserve">, DG Mare of the </w:t>
      </w:r>
      <w:r w:rsidRPr="00014A08">
        <w:rPr>
          <w:rFonts w:ascii="Helvetica" w:hAnsi="Helvetica"/>
          <w:b/>
          <w:bCs/>
          <w:sz w:val="22"/>
          <w:szCs w:val="22"/>
        </w:rPr>
        <w:t>European Commission</w:t>
      </w:r>
      <w:r w:rsidRPr="00014A08">
        <w:rPr>
          <w:rFonts w:ascii="Helvetica" w:hAnsi="Helvetica"/>
          <w:sz w:val="22"/>
          <w:szCs w:val="22"/>
        </w:rPr>
        <w:t xml:space="preserve">, on support programmes for aquaculture for decarbonisation; </w:t>
      </w:r>
      <w:r w:rsidRPr="00014A08">
        <w:rPr>
          <w:rFonts w:ascii="Helvetica" w:hAnsi="Helvetica"/>
          <w:b/>
          <w:bCs/>
          <w:sz w:val="22"/>
          <w:szCs w:val="22"/>
        </w:rPr>
        <w:t>Giovanna Marino of ISPRA</w:t>
      </w:r>
      <w:r w:rsidRPr="00014A08">
        <w:rPr>
          <w:rFonts w:ascii="Helvetica" w:hAnsi="Helvetica"/>
          <w:sz w:val="22"/>
          <w:szCs w:val="22"/>
        </w:rPr>
        <w:t xml:space="preserve">, who discussed the programme for defining Areas Suitable for Aquaculture. </w:t>
      </w:r>
    </w:p>
    <w:p w14:paraId="43D32E8E" w14:textId="17C15590" w:rsidR="003A0C78" w:rsidRDefault="00014A08" w:rsidP="00014A08">
      <w:pPr>
        <w:pStyle w:val="Normal0"/>
        <w:jc w:val="both"/>
        <w:rPr>
          <w:rFonts w:ascii="Helvetica" w:eastAsia="Helvetica" w:hAnsi="Helvetica" w:cs="Helvetica"/>
          <w:sz w:val="22"/>
          <w:szCs w:val="22"/>
        </w:rPr>
      </w:pPr>
      <w:r w:rsidRPr="00014A08">
        <w:rPr>
          <w:rFonts w:ascii="Helvetica" w:hAnsi="Helvetica"/>
          <w:sz w:val="22"/>
          <w:szCs w:val="22"/>
        </w:rPr>
        <w:t xml:space="preserve">The session concluded with the FAO, which decided to hold the Italian leg of its travelling seminar on the implementation of the Guidelines for Sustainable Aquaculture at AquaFarm. </w:t>
      </w:r>
      <w:r w:rsidR="00485676">
        <w:rPr>
          <w:rFonts w:ascii="Helvetica" w:hAnsi="Helvetica"/>
          <w:sz w:val="22"/>
          <w:szCs w:val="22"/>
        </w:rPr>
        <w:t xml:space="preserve"> </w:t>
      </w:r>
    </w:p>
    <w:p w14:paraId="17ADCD63" w14:textId="77777777" w:rsidR="003A0C78" w:rsidRDefault="003A0C78">
      <w:pPr>
        <w:pStyle w:val="Normal0"/>
        <w:jc w:val="both"/>
        <w:rPr>
          <w:rFonts w:ascii="Helvetica" w:eastAsia="Helvetica" w:hAnsi="Helvetica" w:cs="Helvetica"/>
          <w:sz w:val="22"/>
          <w:szCs w:val="22"/>
        </w:rPr>
      </w:pPr>
    </w:p>
    <w:p w14:paraId="1B5F10FD" w14:textId="2BC9630E" w:rsidR="00C33797" w:rsidRDefault="00C33797">
      <w:pPr>
        <w:pStyle w:val="Normal0"/>
        <w:jc w:val="both"/>
        <w:rPr>
          <w:rFonts w:ascii="Helvetica" w:eastAsia="Helvetica" w:hAnsi="Helvetica" w:cs="Helvetica"/>
          <w:sz w:val="22"/>
          <w:szCs w:val="22"/>
        </w:rPr>
      </w:pPr>
      <w:r w:rsidRPr="00C33797">
        <w:rPr>
          <w:rFonts w:ascii="Helvetica" w:eastAsia="Helvetica" w:hAnsi="Helvetica" w:cs="Helvetica"/>
          <w:sz w:val="22"/>
          <w:szCs w:val="22"/>
        </w:rPr>
        <w:t xml:space="preserve">Several market events took place over the two days in Pordenone. On the afternoon of the first day, the second edition of the </w:t>
      </w:r>
      <w:r w:rsidRPr="00C33797">
        <w:rPr>
          <w:rFonts w:ascii="Helvetica" w:eastAsia="Helvetica" w:hAnsi="Helvetica" w:cs="Helvetica"/>
          <w:b/>
          <w:bCs/>
          <w:sz w:val="22"/>
          <w:szCs w:val="22"/>
        </w:rPr>
        <w:t>Italy-Spain Bilateral Meeting</w:t>
      </w:r>
      <w:r w:rsidRPr="00C33797">
        <w:rPr>
          <w:rFonts w:ascii="Helvetica" w:eastAsia="Helvetica" w:hAnsi="Helvetica" w:cs="Helvetica"/>
          <w:sz w:val="22"/>
          <w:szCs w:val="22"/>
        </w:rPr>
        <w:t xml:space="preserve"> was held, organised by the Spanish portal </w:t>
      </w:r>
      <w:r w:rsidRPr="00C33797">
        <w:rPr>
          <w:rFonts w:ascii="Helvetica" w:eastAsia="Helvetica" w:hAnsi="Helvetica" w:cs="Helvetica"/>
          <w:b/>
          <w:bCs/>
          <w:sz w:val="22"/>
          <w:szCs w:val="22"/>
        </w:rPr>
        <w:t>misPeces</w:t>
      </w:r>
      <w:r w:rsidRPr="00C33797">
        <w:rPr>
          <w:rFonts w:ascii="Helvetica" w:eastAsia="Helvetica" w:hAnsi="Helvetica" w:cs="Helvetica"/>
          <w:sz w:val="22"/>
          <w:szCs w:val="22"/>
        </w:rPr>
        <w:t xml:space="preserve">, </w:t>
      </w:r>
      <w:r w:rsidRPr="00C33797">
        <w:rPr>
          <w:rFonts w:ascii="Helvetica" w:eastAsia="Helvetica" w:hAnsi="Helvetica" w:cs="Helvetica"/>
          <w:b/>
          <w:bCs/>
          <w:sz w:val="22"/>
          <w:szCs w:val="22"/>
        </w:rPr>
        <w:t>API</w:t>
      </w:r>
      <w:r w:rsidRPr="00C33797">
        <w:rPr>
          <w:rFonts w:ascii="Helvetica" w:eastAsia="Helvetica" w:hAnsi="Helvetica" w:cs="Helvetica"/>
          <w:sz w:val="22"/>
          <w:szCs w:val="22"/>
        </w:rPr>
        <w:t xml:space="preserve"> and </w:t>
      </w:r>
      <w:r w:rsidRPr="00C33797">
        <w:rPr>
          <w:rFonts w:ascii="Helvetica" w:eastAsia="Helvetica" w:hAnsi="Helvetica" w:cs="Helvetica"/>
          <w:b/>
          <w:bCs/>
          <w:sz w:val="22"/>
          <w:szCs w:val="22"/>
        </w:rPr>
        <w:t>AMA</w:t>
      </w:r>
      <w:r w:rsidRPr="00C33797">
        <w:rPr>
          <w:rFonts w:ascii="Helvetica" w:eastAsia="Helvetica" w:hAnsi="Helvetica" w:cs="Helvetica"/>
          <w:sz w:val="22"/>
          <w:szCs w:val="22"/>
        </w:rPr>
        <w:t>, involving Iberian and Italian associations in the sector. This year, the meeting addressed a topic of particular interest to operators in both countries: “Mediterranean aquaculture and mislabelling: application of labelling rules in the Ho.Re.Ca. channel”.</w:t>
      </w:r>
    </w:p>
    <w:p w14:paraId="67D5BD1B" w14:textId="77777777" w:rsidR="003A0C78" w:rsidRDefault="003A0C78">
      <w:pPr>
        <w:pStyle w:val="Normal0"/>
        <w:rPr>
          <w:rFonts w:ascii="Helvetica" w:eastAsia="Helvetica" w:hAnsi="Helvetica" w:cs="Helvetica"/>
          <w:sz w:val="22"/>
          <w:szCs w:val="22"/>
        </w:rPr>
      </w:pPr>
    </w:p>
    <w:p w14:paraId="4E4CA014" w14:textId="3A3953D0" w:rsidR="00693F11" w:rsidRDefault="00693F11">
      <w:pPr>
        <w:pStyle w:val="Normal0"/>
        <w:jc w:val="both"/>
        <w:rPr>
          <w:rFonts w:ascii="Helvetica" w:eastAsia="Helvetica" w:hAnsi="Helvetica" w:cs="Helvetica"/>
          <w:sz w:val="22"/>
          <w:szCs w:val="22"/>
        </w:rPr>
      </w:pPr>
      <w:r w:rsidRPr="00693F11">
        <w:rPr>
          <w:rFonts w:ascii="Helvetica" w:eastAsia="Helvetica" w:hAnsi="Helvetica" w:cs="Helvetica"/>
          <w:sz w:val="22"/>
          <w:szCs w:val="22"/>
        </w:rPr>
        <w:t>The topic was also addressed in the two opening sessions on the second day. First was the session entitled ‘Strategies, tools and actions for sustainable development</w:t>
      </w:r>
      <w:r w:rsidR="006821A2">
        <w:rPr>
          <w:rFonts w:ascii="Helvetica" w:eastAsia="Helvetica" w:hAnsi="Helvetica" w:cs="Helvetica"/>
          <w:sz w:val="22"/>
          <w:szCs w:val="22"/>
        </w:rPr>
        <w:t xml:space="preserve"> of </w:t>
      </w:r>
      <w:r w:rsidR="006821A2" w:rsidRPr="00693F11">
        <w:rPr>
          <w:rFonts w:ascii="Helvetica" w:eastAsia="Helvetica" w:hAnsi="Helvetica" w:cs="Helvetica"/>
          <w:sz w:val="22"/>
          <w:szCs w:val="22"/>
        </w:rPr>
        <w:t>aquaculture</w:t>
      </w:r>
      <w:r w:rsidRPr="00693F11">
        <w:rPr>
          <w:rFonts w:ascii="Helvetica" w:eastAsia="Helvetica" w:hAnsi="Helvetica" w:cs="Helvetica"/>
          <w:sz w:val="22"/>
          <w:szCs w:val="22"/>
        </w:rPr>
        <w:t>’, which was attended by Graziella Romito, Director General of Fisheries and Aquaculture at the Ministry of Agriculture, Food Sovereignty and Forestry, with contributions from Pier Antonio Salvador for Copa Cogeca, Federico Pinza for AMA – Mediterranean Aquaculture Association and Matteo Leonardi for API –</w:t>
      </w:r>
      <w:r>
        <w:rPr>
          <w:rFonts w:ascii="Helvetica" w:eastAsia="Helvetica" w:hAnsi="Helvetica" w:cs="Helvetica"/>
          <w:sz w:val="22"/>
          <w:szCs w:val="22"/>
        </w:rPr>
        <w:t xml:space="preserve"> </w:t>
      </w:r>
      <w:r w:rsidRPr="00693F11">
        <w:rPr>
          <w:rFonts w:ascii="Helvetica" w:eastAsia="Helvetica" w:hAnsi="Helvetica" w:cs="Helvetica"/>
          <w:sz w:val="22"/>
          <w:szCs w:val="22"/>
        </w:rPr>
        <w:t xml:space="preserve">Italian Fish Farmers Association. Valentina Tepedino, Director of Eurofishmarket, in her report ‘Labelling and commercial promotion of aquaculture products’ emphasised that the Italian origin of fish products is not enough to define their quality. In fact, health and safety is a prerequisite, and she therefore highlighted the need to </w:t>
      </w:r>
      <w:r w:rsidRPr="00693F11">
        <w:rPr>
          <w:rFonts w:ascii="Helvetica" w:eastAsia="Helvetica" w:hAnsi="Helvetica" w:cs="Helvetica"/>
          <w:sz w:val="22"/>
          <w:szCs w:val="22"/>
        </w:rPr>
        <w:lastRenderedPageBreak/>
        <w:t>promote additional aspects such as sustainability and animal welfare, which are not currently clearly distinguishable on labels. In this regard, she proposed shared guidelines or checklists to help consumers and distributors recognise and reward the most virtuous aquaculture producers. The discussion continued in the next session, with the additional contribution of important representatives of the demand side, who exchanged views with operators on the supply side, bringing their own point of view and that of consumers.</w:t>
      </w:r>
    </w:p>
    <w:p w14:paraId="36FBEE06" w14:textId="77777777" w:rsidR="00693F11" w:rsidRDefault="00693F11">
      <w:pPr>
        <w:pStyle w:val="Normal0"/>
        <w:jc w:val="both"/>
        <w:rPr>
          <w:rFonts w:ascii="Helvetica" w:eastAsia="Helvetica" w:hAnsi="Helvetica" w:cs="Helvetica"/>
          <w:sz w:val="22"/>
          <w:szCs w:val="22"/>
        </w:rPr>
      </w:pPr>
    </w:p>
    <w:p w14:paraId="4ADD653E" w14:textId="77777777" w:rsidR="003A0C78" w:rsidRDefault="003A0C78">
      <w:pPr>
        <w:pStyle w:val="Normal0"/>
        <w:rPr>
          <w:rFonts w:ascii="Helvetica" w:eastAsia="Helvetica" w:hAnsi="Helvetica" w:cs="Helvetica"/>
          <w:sz w:val="22"/>
          <w:szCs w:val="22"/>
        </w:rPr>
      </w:pPr>
    </w:p>
    <w:p w14:paraId="74FE10FA" w14:textId="7A113C23" w:rsidR="00704C28" w:rsidRDefault="00704C28">
      <w:pPr>
        <w:pStyle w:val="Normal0"/>
        <w:jc w:val="both"/>
        <w:rPr>
          <w:rFonts w:ascii="Helvetica" w:eastAsia="Helvetica" w:hAnsi="Helvetica" w:cs="Helvetica"/>
          <w:sz w:val="22"/>
          <w:szCs w:val="22"/>
        </w:rPr>
      </w:pPr>
      <w:r>
        <w:rPr>
          <w:rFonts w:ascii="Helvetica" w:eastAsia="Helvetica" w:hAnsi="Helvetica" w:cs="Helvetica"/>
          <w:sz w:val="22"/>
          <w:szCs w:val="22"/>
        </w:rPr>
        <w:t>T</w:t>
      </w:r>
      <w:r w:rsidRPr="00704C28">
        <w:rPr>
          <w:rFonts w:ascii="Helvetica" w:eastAsia="Helvetica" w:hAnsi="Helvetica" w:cs="Helvetica"/>
          <w:sz w:val="22"/>
          <w:szCs w:val="22"/>
        </w:rPr>
        <w:t>his year</w:t>
      </w:r>
      <w:r>
        <w:rPr>
          <w:rFonts w:ascii="Helvetica" w:eastAsia="Helvetica" w:hAnsi="Helvetica" w:cs="Helvetica"/>
          <w:sz w:val="22"/>
          <w:szCs w:val="22"/>
        </w:rPr>
        <w:t xml:space="preserve">’s new feature was </w:t>
      </w:r>
      <w:r w:rsidRPr="00704C28">
        <w:rPr>
          <w:rFonts w:ascii="Helvetica" w:eastAsia="Helvetica" w:hAnsi="Helvetica" w:cs="Helvetica"/>
          <w:sz w:val="22"/>
          <w:szCs w:val="22"/>
        </w:rPr>
        <w:t>AquaFishery, the thematic area that introduced issues related to artisanal and small-scale fishing to AquaFarm for the first time</w:t>
      </w:r>
      <w:r>
        <w:rPr>
          <w:rFonts w:ascii="Helvetica" w:eastAsia="Helvetica" w:hAnsi="Helvetica" w:cs="Helvetica"/>
          <w:sz w:val="22"/>
          <w:szCs w:val="22"/>
        </w:rPr>
        <w:t>. It</w:t>
      </w:r>
      <w:r w:rsidRPr="00704C28">
        <w:rPr>
          <w:rFonts w:ascii="Helvetica" w:eastAsia="Helvetica" w:hAnsi="Helvetica" w:cs="Helvetica"/>
          <w:sz w:val="22"/>
          <w:szCs w:val="22"/>
        </w:rPr>
        <w:t xml:space="preserve"> had its conference moment with a session in which fishermen's associations were able to discuss the various critical issues and prospects for the sector. Some of the latest results of academic and industrial research were presented on a number of topics of interest, from new discoveries for reducing mercury in processed tuna to the potential for extracting value from end-of-life fishing nets and new intelligent fish weighing systems.</w:t>
      </w:r>
    </w:p>
    <w:p w14:paraId="540B09A0" w14:textId="77777777" w:rsidR="003A0C78" w:rsidRDefault="003A0C78">
      <w:pPr>
        <w:pStyle w:val="Normal0"/>
        <w:rPr>
          <w:rFonts w:ascii="Helvetica" w:eastAsia="Helvetica" w:hAnsi="Helvetica" w:cs="Helvetica"/>
          <w:sz w:val="22"/>
          <w:szCs w:val="22"/>
        </w:rPr>
      </w:pPr>
    </w:p>
    <w:p w14:paraId="557E2534" w14:textId="6C7343EE" w:rsidR="00704C28" w:rsidRDefault="00704C28">
      <w:pPr>
        <w:pStyle w:val="Normal0"/>
        <w:jc w:val="both"/>
        <w:rPr>
          <w:rFonts w:ascii="Helvetica" w:eastAsia="Helvetica" w:hAnsi="Helvetica" w:cs="Helvetica"/>
          <w:sz w:val="22"/>
          <w:szCs w:val="22"/>
        </w:rPr>
      </w:pPr>
      <w:r w:rsidRPr="00704C28">
        <w:rPr>
          <w:rFonts w:ascii="Helvetica" w:eastAsia="Helvetica" w:hAnsi="Helvetica" w:cs="Helvetica"/>
          <w:sz w:val="22"/>
          <w:szCs w:val="22"/>
        </w:rPr>
        <w:t>The scientific conferences were very well attended. The conference dedicated to functional feed for fish species and its positive effects on animals and the perceived quality of the product revealed, on the one hand, that precision feeding with variable “recipes” guarantees greater nutritional stability and, on the other, that the perception of quality varies greatly among consumers depending on their attitude towards fish products. This is influenced by predisposing factors in the general public, positively by sustainability claims (supported by adequate explanations), negatively by emotional and instinctive reactions, for example towards animals fed with insect-based feed, when the same species in nature have a largely insectivorous diet.</w:t>
      </w:r>
    </w:p>
    <w:p w14:paraId="4A4A3559" w14:textId="77777777" w:rsidR="003A0C78" w:rsidRDefault="003A0C78">
      <w:pPr>
        <w:pStyle w:val="Normal0"/>
        <w:jc w:val="both"/>
        <w:rPr>
          <w:rFonts w:ascii="Helvetica" w:eastAsia="Helvetica" w:hAnsi="Helvetica" w:cs="Helvetica"/>
          <w:sz w:val="22"/>
          <w:szCs w:val="22"/>
        </w:rPr>
      </w:pPr>
    </w:p>
    <w:p w14:paraId="083B8A1D" w14:textId="77777777" w:rsidR="00E403C6" w:rsidRPr="00E403C6" w:rsidRDefault="00E403C6" w:rsidP="00E403C6">
      <w:pPr>
        <w:pStyle w:val="Normal0"/>
        <w:jc w:val="both"/>
        <w:rPr>
          <w:rFonts w:ascii="Helvetica" w:eastAsia="Helvetica" w:hAnsi="Helvetica" w:cs="Helvetica"/>
          <w:sz w:val="22"/>
          <w:szCs w:val="22"/>
        </w:rPr>
      </w:pPr>
      <w:r w:rsidRPr="00E403C6">
        <w:rPr>
          <w:rFonts w:ascii="Helvetica" w:eastAsia="Helvetica" w:hAnsi="Helvetica" w:cs="Helvetica"/>
          <w:sz w:val="22"/>
          <w:szCs w:val="22"/>
        </w:rPr>
        <w:t xml:space="preserve">The topic of new aquaculture systems is attracting considerable interest, with a special session dedicated to it. Recirculating aquaculture systems (RAS) are seen in freshwater farms as a way to guarantee high-quality water in the face of increasingly unpredictable changes in the natural environment, and in saltwater farms as a way to introduce new species, such as shrimp, which are currently imported from areas at high risk of contamination. </w:t>
      </w:r>
    </w:p>
    <w:p w14:paraId="53EFF1B8" w14:textId="6F2E289D" w:rsidR="00E403C6" w:rsidRDefault="00E403C6" w:rsidP="00E403C6">
      <w:pPr>
        <w:pStyle w:val="Normal0"/>
        <w:jc w:val="both"/>
        <w:rPr>
          <w:rFonts w:ascii="Helvetica" w:eastAsia="Helvetica" w:hAnsi="Helvetica" w:cs="Helvetica"/>
          <w:sz w:val="22"/>
          <w:szCs w:val="22"/>
        </w:rPr>
      </w:pPr>
      <w:r w:rsidRPr="00E403C6">
        <w:rPr>
          <w:rFonts w:ascii="Helvetica" w:eastAsia="Helvetica" w:hAnsi="Helvetica" w:cs="Helvetica"/>
          <w:sz w:val="22"/>
          <w:szCs w:val="22"/>
        </w:rPr>
        <w:t>There is a great deal of interest in multitrophic aquaculture, which receives European research funding, including in marine environments, where it is known as haloponic aquaculture, by analogy with aquaponics in terrestrial environments. The basic idea is to accompany the farming of traditional species with the cultivation of varieties such as macroalgae and aquatic plants (salicornia, agretti, posidonia), which can provide valuable products or simply contribute to rebalancing the marine environment. In all cases, the recovery and valorisation of waste and effluents is of fundamental importance for the production of biogas/biomethane and soil improvers and fertilisers.</w:t>
      </w:r>
    </w:p>
    <w:p w14:paraId="041EFE1C" w14:textId="77777777" w:rsidR="00AC6DC6" w:rsidRDefault="00AC6DC6">
      <w:pPr>
        <w:pStyle w:val="Normal0"/>
        <w:jc w:val="both"/>
        <w:rPr>
          <w:rFonts w:ascii="Helvetica" w:hAnsi="Helvetica"/>
          <w:sz w:val="22"/>
          <w:szCs w:val="22"/>
        </w:rPr>
      </w:pPr>
    </w:p>
    <w:p w14:paraId="1452D7C3" w14:textId="70D9677F" w:rsidR="00AC6DC6" w:rsidRDefault="00AC6DC6" w:rsidP="00AC6DC6">
      <w:pPr>
        <w:pStyle w:val="Normal0"/>
        <w:jc w:val="both"/>
        <w:rPr>
          <w:rFonts w:ascii="Helvetica" w:eastAsia="Helvetica" w:hAnsi="Helvetica" w:cs="Helvetica"/>
          <w:sz w:val="22"/>
          <w:szCs w:val="22"/>
        </w:rPr>
      </w:pPr>
      <w:r w:rsidRPr="00AC6DC6">
        <w:rPr>
          <w:rFonts w:ascii="Helvetica" w:eastAsia="Helvetica" w:hAnsi="Helvetica" w:cs="Helvetica"/>
          <w:sz w:val="22"/>
          <w:szCs w:val="22"/>
        </w:rPr>
        <w:t>The session on emerging technologies saw four points of focus from the scientific community: the development of computer models (digital twins) of farms, using a wide variety of sensors for data collection; the use of artificial intelligence in various sectors, from highly granular weather forecasts (typical of sea farms) to the interpretation of enormous amounts of data that modern laboratory tools make available to researchers; the use of autonomous robotics both for monitoring farming environments and for the continuous collection of data useful for proactive management; the investigation of environmental factors that have been neglected until now in the development and welfare of farmed fish species, primarily noise.</w:t>
      </w:r>
    </w:p>
    <w:p w14:paraId="5DF120AF" w14:textId="77777777" w:rsidR="003A0C78" w:rsidRDefault="003A0C78">
      <w:pPr>
        <w:pStyle w:val="Normal0"/>
        <w:jc w:val="both"/>
        <w:rPr>
          <w:rFonts w:ascii="Helvetica" w:eastAsia="Helvetica" w:hAnsi="Helvetica" w:cs="Helvetica"/>
          <w:sz w:val="22"/>
          <w:szCs w:val="22"/>
        </w:rPr>
      </w:pPr>
    </w:p>
    <w:p w14:paraId="31F8699E" w14:textId="77777777" w:rsidR="009678A0" w:rsidRPr="009678A0" w:rsidRDefault="009678A0" w:rsidP="009678A0">
      <w:pPr>
        <w:pStyle w:val="Normal0"/>
        <w:jc w:val="both"/>
        <w:rPr>
          <w:rFonts w:ascii="Helvetica" w:eastAsia="Helvetica" w:hAnsi="Helvetica" w:cs="Helvetica"/>
          <w:sz w:val="22"/>
          <w:szCs w:val="22"/>
        </w:rPr>
      </w:pPr>
      <w:r w:rsidRPr="009678A0">
        <w:rPr>
          <w:rFonts w:ascii="Helvetica" w:eastAsia="Helvetica" w:hAnsi="Helvetica" w:cs="Helvetica"/>
          <w:sz w:val="22"/>
          <w:szCs w:val="22"/>
        </w:rPr>
        <w:lastRenderedPageBreak/>
        <w:t>The conference programme concluded with two sessions dedicated to AlgaeFarm, which saw the field of interest extend to macroalgae for the first time, partly as a result of the aforementioned focus on multitrophic aquaculture, particularly in Italy, by shellfish producers, and to ongoing progress in the use of microalgae as biorefineries for the processing and extraction of useful substances, such as carotenoids, from food waste and effluents.</w:t>
      </w:r>
    </w:p>
    <w:p w14:paraId="21F8940A" w14:textId="77777777" w:rsidR="009678A0" w:rsidRPr="009678A0" w:rsidRDefault="009678A0" w:rsidP="009678A0">
      <w:pPr>
        <w:pStyle w:val="Normal0"/>
        <w:jc w:val="both"/>
        <w:rPr>
          <w:rFonts w:ascii="Helvetica" w:eastAsia="Helvetica" w:hAnsi="Helvetica" w:cs="Helvetica"/>
          <w:sz w:val="22"/>
          <w:szCs w:val="22"/>
        </w:rPr>
      </w:pPr>
    </w:p>
    <w:p w14:paraId="4285106E" w14:textId="3E76108A" w:rsidR="009678A0" w:rsidRDefault="009678A0" w:rsidP="009678A0">
      <w:pPr>
        <w:pStyle w:val="Normal0"/>
        <w:jc w:val="both"/>
        <w:rPr>
          <w:rFonts w:ascii="Helvetica" w:eastAsia="Helvetica" w:hAnsi="Helvetica" w:cs="Helvetica"/>
          <w:sz w:val="22"/>
          <w:szCs w:val="22"/>
        </w:rPr>
      </w:pPr>
      <w:r w:rsidRPr="009678A0">
        <w:rPr>
          <w:rFonts w:ascii="Helvetica" w:eastAsia="Helvetica" w:hAnsi="Helvetica" w:cs="Helvetica"/>
          <w:sz w:val="22"/>
          <w:szCs w:val="22"/>
        </w:rPr>
        <w:t>The conference proceedings will soon be available on the event website www.aquafarmexpo.it. The next edition of AquaFarm is already scheduled for</w:t>
      </w:r>
      <w:r>
        <w:rPr>
          <w:rFonts w:ascii="Helvetica" w:eastAsia="Helvetica" w:hAnsi="Helvetica" w:cs="Helvetica"/>
          <w:sz w:val="22"/>
          <w:szCs w:val="22"/>
        </w:rPr>
        <w:t xml:space="preserve"> February</w:t>
      </w:r>
      <w:r w:rsidRPr="009678A0">
        <w:rPr>
          <w:rFonts w:ascii="Helvetica" w:eastAsia="Helvetica" w:hAnsi="Helvetica" w:cs="Helvetica"/>
          <w:sz w:val="22"/>
          <w:szCs w:val="22"/>
        </w:rPr>
        <w:t xml:space="preserve"> 17-18</w:t>
      </w:r>
      <w:r>
        <w:rPr>
          <w:rFonts w:ascii="Helvetica" w:eastAsia="Helvetica" w:hAnsi="Helvetica" w:cs="Helvetica"/>
          <w:sz w:val="22"/>
          <w:szCs w:val="22"/>
        </w:rPr>
        <w:t>,</w:t>
      </w:r>
      <w:r w:rsidRPr="009678A0">
        <w:rPr>
          <w:rFonts w:ascii="Helvetica" w:eastAsia="Helvetica" w:hAnsi="Helvetica" w:cs="Helvetica"/>
          <w:sz w:val="22"/>
          <w:szCs w:val="22"/>
        </w:rPr>
        <w:t xml:space="preserve"> 2027. See you soon!</w:t>
      </w:r>
    </w:p>
    <w:p w14:paraId="3D746779" w14:textId="77777777" w:rsidR="003A0C78" w:rsidRDefault="003A0C78">
      <w:pPr>
        <w:pStyle w:val="Normal0"/>
        <w:jc w:val="both"/>
        <w:rPr>
          <w:rFonts w:ascii="Helvetica" w:eastAsia="Helvetica" w:hAnsi="Helvetica" w:cs="Helvetica"/>
        </w:rPr>
      </w:pPr>
    </w:p>
    <w:p w14:paraId="627A62FD" w14:textId="77777777" w:rsidR="009A7118" w:rsidRDefault="009A7118">
      <w:pPr>
        <w:pStyle w:val="DidefaultA"/>
        <w:suppressAutoHyphens/>
        <w:spacing w:before="0" w:line="240" w:lineRule="auto"/>
        <w:rPr>
          <w:rStyle w:val="Nessuno"/>
          <w:rFonts w:ascii="Helvetica" w:hAnsi="Helvetica"/>
          <w:i/>
          <w:iCs/>
          <w:sz w:val="16"/>
          <w:szCs w:val="16"/>
        </w:rPr>
      </w:pPr>
    </w:p>
    <w:p w14:paraId="10625A8D" w14:textId="23A84F7F" w:rsidR="009A7118" w:rsidRPr="009A7118" w:rsidRDefault="009A7118" w:rsidP="009A7118">
      <w:pPr>
        <w:spacing w:after="200"/>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pPr>
      <w:r w:rsidRPr="009A7118">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AquaFarm</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is Italy's only international conference and trade show on aquaculture and sustainable fishing industry, organized by Pordenone Fiere in collaboration with </w:t>
      </w:r>
      <w:r w:rsidRPr="009A7118">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industry associations</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and </w:t>
      </w:r>
      <w:r w:rsidRPr="009A7118">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Studio Comelli – Conferences&amp;Communication</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which is in charge of conference contents and press office. The event was first held in 2017 and it has always been focused on all areas of innovative and sustainable food production. It features two thematic areas: </w:t>
      </w:r>
      <w:r w:rsidRPr="009172FC">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AlgaeFarm</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dedicated to the cultivation of microalgae and other microorganisms, and the newcomer </w:t>
      </w:r>
      <w:r w:rsidRPr="009172FC">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AquaFishery</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dedicated to artisanal and professional fishing.  </w:t>
      </w:r>
    </w:p>
    <w:p w14:paraId="28388D38" w14:textId="77777777" w:rsidR="009A7118" w:rsidRPr="009A7118" w:rsidRDefault="009A7118" w:rsidP="009A7118">
      <w:pPr>
        <w:jc w:val="both"/>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pPr>
    </w:p>
    <w:p w14:paraId="1C8E6773" w14:textId="07930424" w:rsidR="009A7118" w:rsidRPr="009A7118" w:rsidRDefault="009A7118" w:rsidP="009A7118">
      <w:pPr>
        <w:spacing w:after="200"/>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pPr>
      <w:r w:rsidRPr="009A7118">
        <w:rPr>
          <w:rStyle w:val="Nessuno"/>
          <w:rFonts w:ascii="Helvetica" w:hAnsi="Helvetica" w:cs="Arial Unicode MS"/>
          <w:b/>
          <w:bCs/>
          <w:i/>
          <w:iCs/>
          <w:color w:val="000000"/>
          <w:sz w:val="18"/>
          <w:szCs w:val="18"/>
          <w:u w:color="000000"/>
          <w:lang w:val="it-IT" w:eastAsia="it-IT"/>
          <w14:textOutline w14:w="12700" w14:cap="flat" w14:cmpd="sng" w14:algn="ctr">
            <w14:noFill/>
            <w14:prstDash w14:val="solid"/>
            <w14:miter w14:lim="400000"/>
          </w14:textOutline>
        </w:rPr>
        <w:t>Press offices</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br/>
        <w:t xml:space="preserve">Salvatore Bruno – Studio Comelli - </w:t>
      </w:r>
      <w:hyperlink r:id="rId6" w:history="1">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salvatore@studiocomelli.eu</w:t>
        </w:r>
      </w:hyperlink>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 xml:space="preserve">  + 39 335 398913</w:t>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tab/>
      </w:r>
      <w:r w:rsidRPr="009A7118">
        <w:rPr>
          <w:rStyle w:val="Nessuno"/>
          <w:rFonts w:ascii="Helvetica" w:hAnsi="Helvetica" w:cs="Arial Unicode MS"/>
          <w:i/>
          <w:iCs/>
          <w:color w:val="000000"/>
          <w:sz w:val="18"/>
          <w:szCs w:val="18"/>
          <w:u w:color="000000"/>
          <w:lang w:val="it-IT" w:eastAsia="it-IT"/>
          <w14:textOutline w14:w="12700" w14:cap="flat" w14:cmpd="sng" w14:algn="ctr">
            <w14:noFill/>
            <w14:prstDash w14:val="solid"/>
            <w14:miter w14:lim="400000"/>
          </w14:textOutline>
        </w:rPr>
        <w:br/>
        <w:t>Simona Maldarelli – Pordenone Fiere – smaldarelli@fierapordenone.it + 39 380 3133728</w:t>
      </w:r>
    </w:p>
    <w:p w14:paraId="5521E531" w14:textId="77777777" w:rsidR="009A7118" w:rsidRDefault="009A7118">
      <w:pPr>
        <w:pStyle w:val="DidefaultA"/>
        <w:suppressAutoHyphens/>
        <w:spacing w:before="0" w:line="240" w:lineRule="auto"/>
      </w:pPr>
    </w:p>
    <w:sectPr w:rsidR="009A7118">
      <w:headerReference w:type="default" r:id="rId7"/>
      <w:footerReference w:type="default" r:id="rId8"/>
      <w:pgSz w:w="11900" w:h="16840"/>
      <w:pgMar w:top="3119" w:right="851" w:bottom="1985" w:left="851" w:header="992" w:footer="1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971E" w14:textId="77777777" w:rsidR="0026065F" w:rsidRDefault="0026065F">
      <w:r>
        <w:separator/>
      </w:r>
    </w:p>
  </w:endnote>
  <w:endnote w:type="continuationSeparator" w:id="0">
    <w:p w14:paraId="37E5B59F" w14:textId="77777777" w:rsidR="0026065F" w:rsidRDefault="0026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883" w14:textId="77777777" w:rsidR="003A0C78" w:rsidRDefault="00485676">
    <w:pPr>
      <w:pStyle w:val="Normal0"/>
      <w:spacing w:line="288" w:lineRule="auto"/>
      <w:ind w:left="7788"/>
      <w:rPr>
        <w:rStyle w:val="Nessuno"/>
        <w:rFonts w:ascii="Lato" w:eastAsia="Lato" w:hAnsi="Lato" w:cs="Lato"/>
        <w:b/>
        <w:bCs/>
        <w:sz w:val="14"/>
        <w:szCs w:val="14"/>
      </w:rPr>
    </w:pPr>
    <w:r>
      <w:rPr>
        <w:rStyle w:val="Nessuno"/>
        <w:rFonts w:ascii="Lato" w:eastAsia="Lato" w:hAnsi="Lato" w:cs="Lato"/>
        <w:b/>
        <w:bCs/>
        <w:sz w:val="14"/>
        <w:szCs w:val="14"/>
      </w:rPr>
      <w:t>Convegni e comunicazione a cura di:</w:t>
    </w:r>
  </w:p>
  <w:p w14:paraId="6109B947" w14:textId="77777777" w:rsidR="003A0C78" w:rsidRDefault="00485676">
    <w:pPr>
      <w:pStyle w:val="Normal0"/>
      <w:spacing w:line="276" w:lineRule="auto"/>
      <w:rPr>
        <w:rStyle w:val="Nessuno"/>
        <w:rFonts w:ascii="Lato Light" w:eastAsia="Lato Light" w:hAnsi="Lato Light" w:cs="Lato Light"/>
        <w:sz w:val="14"/>
        <w:szCs w:val="14"/>
      </w:rPr>
    </w:pPr>
    <w:r>
      <w:rPr>
        <w:rStyle w:val="Nessuno"/>
        <w:rFonts w:ascii="Lato" w:eastAsia="Lato" w:hAnsi="Lato" w:cs="Lato"/>
        <w:b/>
        <w:bCs/>
        <w:sz w:val="14"/>
        <w:szCs w:val="14"/>
      </w:rPr>
      <w:t>Pordenone Fiere S.p.a.</w:t>
    </w:r>
    <w:r>
      <w:rPr>
        <w:rStyle w:val="Nessuno"/>
        <w:rFonts w:ascii="Lato Light" w:eastAsia="Lato Light" w:hAnsi="Lato Light" w:cs="Lato Light"/>
        <w:sz w:val="14"/>
        <w:szCs w:val="14"/>
      </w:rPr>
      <w:t xml:space="preserve"> - Viale Treviso 1 - 33170 Pordenone – Italy</w:t>
    </w:r>
  </w:p>
  <w:p w14:paraId="4D15C1C4" w14:textId="77777777" w:rsidR="003A0C78" w:rsidRDefault="00485676">
    <w:pPr>
      <w:pStyle w:val="Normal0"/>
      <w:spacing w:line="276" w:lineRule="auto"/>
      <w:rPr>
        <w:rStyle w:val="Nessuno"/>
        <w:rFonts w:ascii="Lato" w:eastAsia="Lato" w:hAnsi="Lato" w:cs="Lato"/>
        <w:b/>
        <w:bCs/>
        <w:sz w:val="14"/>
        <w:szCs w:val="14"/>
        <w:lang w:val="en-US"/>
      </w:rPr>
    </w:pPr>
    <w:r>
      <w:rPr>
        <w:rStyle w:val="Nessuno"/>
        <w:rFonts w:ascii="Lato Light" w:eastAsia="Lato Light" w:hAnsi="Lato Light" w:cs="Lato Light"/>
        <w:sz w:val="14"/>
        <w:szCs w:val="14"/>
        <w:lang w:val="en-US"/>
      </w:rPr>
      <w:t>Tel. +39 0434 232111 - Fax +39 0434 570415</w:t>
    </w:r>
    <w:r>
      <w:rPr>
        <w:rStyle w:val="Nessuno"/>
        <w:rFonts w:ascii="Lato Light" w:eastAsia="Lato Light" w:hAnsi="Lato Light" w:cs="Lato Light"/>
        <w:sz w:val="14"/>
        <w:szCs w:val="14"/>
        <w:lang w:val="en-US"/>
      </w:rPr>
      <w:tab/>
    </w:r>
    <w:r>
      <w:rPr>
        <w:rStyle w:val="Nessuno"/>
        <w:rFonts w:ascii="Lato Light" w:eastAsia="Lato Light" w:hAnsi="Lato Light" w:cs="Lato Light"/>
        <w:sz w:val="14"/>
        <w:szCs w:val="14"/>
        <w:lang w:val="en-US"/>
      </w:rPr>
      <w:tab/>
    </w:r>
  </w:p>
  <w:p w14:paraId="56B76866" w14:textId="77777777" w:rsidR="003A0C78" w:rsidRDefault="00485676">
    <w:pPr>
      <w:pStyle w:val="Normal0"/>
      <w:spacing w:line="276" w:lineRule="auto"/>
      <w:rPr>
        <w:rStyle w:val="Nessuno"/>
        <w:rFonts w:ascii="Lato Light" w:eastAsia="Lato Light" w:hAnsi="Lato Light" w:cs="Lato Light"/>
        <w:sz w:val="14"/>
        <w:szCs w:val="14"/>
        <w:lang w:val="en-US"/>
      </w:rPr>
    </w:pPr>
    <w:r>
      <w:rPr>
        <w:rStyle w:val="Nessuno"/>
        <w:rFonts w:ascii="Lato Light" w:eastAsia="Lato Light" w:hAnsi="Lato Light" w:cs="Lato Light"/>
        <w:sz w:val="14"/>
        <w:szCs w:val="14"/>
        <w:lang w:val="en-US"/>
      </w:rPr>
      <w:t xml:space="preserve">pec: amministrazione@pec.fierapordenone.it  </w:t>
    </w:r>
    <w:hyperlink r:id="rId1" w:history="1">
      <w:r>
        <w:rPr>
          <w:rStyle w:val="Hyperlink1"/>
        </w:rPr>
        <w:t>www.fierapordenone.it</w:t>
      </w:r>
    </w:hyperlink>
  </w:p>
  <w:p w14:paraId="552CF5FB" w14:textId="77777777" w:rsidR="003A0C78" w:rsidRDefault="00485676">
    <w:pPr>
      <w:pStyle w:val="Normal0"/>
      <w:spacing w:line="276" w:lineRule="auto"/>
    </w:pPr>
    <w:r>
      <w:rPr>
        <w:rStyle w:val="Nessuno"/>
        <w:rFonts w:ascii="Lato Light" w:eastAsia="Lato Light" w:hAnsi="Lato Light" w:cs="Lato Light"/>
        <w:sz w:val="14"/>
        <w:szCs w:val="14"/>
        <w:lang w:val="en-US"/>
      </w:rPr>
      <w:t>P.IVA: 00076940931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AB14" w14:textId="77777777" w:rsidR="0026065F" w:rsidRDefault="0026065F">
      <w:r>
        <w:separator/>
      </w:r>
    </w:p>
  </w:footnote>
  <w:footnote w:type="continuationSeparator" w:id="0">
    <w:p w14:paraId="6C7B02EE" w14:textId="77777777" w:rsidR="0026065F" w:rsidRDefault="0026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5C4E" w14:textId="4C01A416" w:rsidR="003A0C78" w:rsidRDefault="00F14B0D">
    <w:pPr>
      <w:pStyle w:val="Normal0"/>
      <w:jc w:val="center"/>
      <w:rPr>
        <w:rFonts w:ascii="Lato" w:eastAsia="Lato" w:hAnsi="Lato" w:cs="Lato"/>
        <w:sz w:val="30"/>
        <w:szCs w:val="30"/>
      </w:rPr>
    </w:pPr>
    <w:r>
      <w:rPr>
        <w:noProof/>
      </w:rPr>
      <w:drawing>
        <wp:anchor distT="0" distB="0" distL="114300" distR="114300" simplePos="0" relativeHeight="251664384" behindDoc="0" locked="0" layoutInCell="1" allowOverlap="1" wp14:anchorId="7600AB5E" wp14:editId="61E218B6">
          <wp:simplePos x="0" y="0"/>
          <wp:positionH relativeFrom="margin">
            <wp:posOffset>424281</wp:posOffset>
          </wp:positionH>
          <wp:positionV relativeFrom="paragraph">
            <wp:posOffset>-58521</wp:posOffset>
          </wp:positionV>
          <wp:extent cx="3148716" cy="1023935"/>
          <wp:effectExtent l="0" t="0" r="0" b="0"/>
          <wp:wrapNone/>
          <wp:docPr id="1192034357" name="Immagine 1192034357"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34357" name="Immagine 1192034357" descr="Immagine che contiene Elementi grafici, Carattere, logo, grafica&#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t="34969" b="32512"/>
                  <a:stretch/>
                </pic:blipFill>
                <pic:spPr bwMode="auto">
                  <a:xfrm>
                    <a:off x="0" y="0"/>
                    <a:ext cx="3148716" cy="102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5676">
      <w:rPr>
        <w:noProof/>
      </w:rPr>
      <w:drawing>
        <wp:anchor distT="152400" distB="152400" distL="152400" distR="152400" simplePos="0" relativeHeight="251658240" behindDoc="1" locked="0" layoutInCell="1" allowOverlap="1" wp14:anchorId="566E1815" wp14:editId="589EB944">
          <wp:simplePos x="0" y="0"/>
          <wp:positionH relativeFrom="page">
            <wp:posOffset>540382</wp:posOffset>
          </wp:positionH>
          <wp:positionV relativeFrom="page">
            <wp:posOffset>-2792694</wp:posOffset>
          </wp:positionV>
          <wp:extent cx="3148716" cy="1023935"/>
          <wp:effectExtent l="0" t="0" r="0" b="0"/>
          <wp:wrapNone/>
          <wp:docPr id="1073741825" name="officeArt object" descr="Immagine 1192034357"/>
          <wp:cNvGraphicFramePr/>
          <a:graphic xmlns:a="http://schemas.openxmlformats.org/drawingml/2006/main">
            <a:graphicData uri="http://schemas.openxmlformats.org/drawingml/2006/picture">
              <pic:pic xmlns:pic="http://schemas.openxmlformats.org/drawingml/2006/picture">
                <pic:nvPicPr>
                  <pic:cNvPr id="1073741825" name="Immagine 1192034357" descr="Immagine 1192034357"/>
                  <pic:cNvPicPr>
                    <a:picLocks noChangeAspect="1"/>
                  </pic:cNvPicPr>
                </pic:nvPicPr>
                <pic:blipFill>
                  <a:blip r:embed="rId1"/>
                  <a:srcRect t="34969" b="32512"/>
                  <a:stretch>
                    <a:fillRect/>
                  </a:stretch>
                </pic:blipFill>
                <pic:spPr>
                  <a:xfrm>
                    <a:off x="0" y="0"/>
                    <a:ext cx="3148716" cy="1023935"/>
                  </a:xfrm>
                  <a:prstGeom prst="rect">
                    <a:avLst/>
                  </a:prstGeom>
                  <a:ln w="12700" cap="flat">
                    <a:noFill/>
                    <a:miter lim="400000"/>
                  </a:ln>
                  <a:effectLst/>
                </pic:spPr>
              </pic:pic>
            </a:graphicData>
          </a:graphic>
        </wp:anchor>
      </w:drawing>
    </w:r>
    <w:r w:rsidR="00485676">
      <w:rPr>
        <w:noProof/>
      </w:rPr>
      <w:drawing>
        <wp:anchor distT="152400" distB="152400" distL="152400" distR="152400" simplePos="0" relativeHeight="251659264" behindDoc="1" locked="0" layoutInCell="1" allowOverlap="1" wp14:anchorId="5C364529" wp14:editId="29081F78">
          <wp:simplePos x="0" y="0"/>
          <wp:positionH relativeFrom="page">
            <wp:posOffset>4417059</wp:posOffset>
          </wp:positionH>
          <wp:positionV relativeFrom="page">
            <wp:posOffset>725169</wp:posOffset>
          </wp:positionV>
          <wp:extent cx="930304" cy="681415"/>
          <wp:effectExtent l="0" t="0" r="0" b="0"/>
          <wp:wrapNone/>
          <wp:docPr id="1073741826" name="officeArt object" descr="Immagine che contiene testo, Carattere, Elementi grafici,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testo, Carattere, Elementi grafici, logoDescrizione generata automaticamente" descr="Immagine che contiene testo, Carattere, Elementi grafici, logoDescrizione generata automaticamente"/>
                  <pic:cNvPicPr>
                    <a:picLocks noChangeAspect="1"/>
                  </pic:cNvPicPr>
                </pic:nvPicPr>
                <pic:blipFill>
                  <a:blip r:embed="rId2"/>
                  <a:stretch>
                    <a:fillRect/>
                  </a:stretch>
                </pic:blipFill>
                <pic:spPr>
                  <a:xfrm>
                    <a:off x="0" y="0"/>
                    <a:ext cx="930304" cy="681415"/>
                  </a:xfrm>
                  <a:prstGeom prst="rect">
                    <a:avLst/>
                  </a:prstGeom>
                  <a:ln w="12700" cap="flat">
                    <a:noFill/>
                    <a:miter lim="400000"/>
                  </a:ln>
                  <a:effectLst/>
                </pic:spPr>
              </pic:pic>
            </a:graphicData>
          </a:graphic>
        </wp:anchor>
      </w:drawing>
    </w:r>
    <w:r w:rsidR="00485676">
      <w:rPr>
        <w:noProof/>
      </w:rPr>
      <w:drawing>
        <wp:anchor distT="152400" distB="152400" distL="152400" distR="152400" simplePos="0" relativeHeight="251660288" behindDoc="1" locked="0" layoutInCell="1" allowOverlap="1" wp14:anchorId="37AC15D0" wp14:editId="5FCD9085">
          <wp:simplePos x="0" y="0"/>
          <wp:positionH relativeFrom="page">
            <wp:posOffset>5645784</wp:posOffset>
          </wp:positionH>
          <wp:positionV relativeFrom="page">
            <wp:posOffset>848994</wp:posOffset>
          </wp:positionV>
          <wp:extent cx="1028087" cy="524786"/>
          <wp:effectExtent l="0" t="0" r="0" b="0"/>
          <wp:wrapNone/>
          <wp:docPr id="1073741827" name="officeArt object"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7" name="Immagine che contiene testo, Carattere, Elementi grafici, logoIl contenuto generato dall'IA potrebbe non essere corretto." descr="Immagine che contiene testo, Carattere, Elementi grafici, logoIl contenuto generato dall'IA potrebbe non essere corretto."/>
                  <pic:cNvPicPr>
                    <a:picLocks noChangeAspect="1"/>
                  </pic:cNvPicPr>
                </pic:nvPicPr>
                <pic:blipFill>
                  <a:blip r:embed="rId3"/>
                  <a:stretch>
                    <a:fillRect/>
                  </a:stretch>
                </pic:blipFill>
                <pic:spPr>
                  <a:xfrm>
                    <a:off x="0" y="0"/>
                    <a:ext cx="1028087" cy="524786"/>
                  </a:xfrm>
                  <a:prstGeom prst="rect">
                    <a:avLst/>
                  </a:prstGeom>
                  <a:ln w="12700" cap="flat">
                    <a:noFill/>
                    <a:miter lim="400000"/>
                  </a:ln>
                  <a:effectLst/>
                </pic:spPr>
              </pic:pic>
            </a:graphicData>
          </a:graphic>
        </wp:anchor>
      </w:drawing>
    </w:r>
    <w:r w:rsidR="00485676">
      <w:rPr>
        <w:noProof/>
      </w:rPr>
      <mc:AlternateContent>
        <mc:Choice Requires="wps">
          <w:drawing>
            <wp:anchor distT="152400" distB="152400" distL="152400" distR="152400" simplePos="0" relativeHeight="251661312" behindDoc="1" locked="0" layoutInCell="1" allowOverlap="1" wp14:anchorId="6C2E34DA" wp14:editId="43AE76AC">
              <wp:simplePos x="0" y="0"/>
              <wp:positionH relativeFrom="page">
                <wp:posOffset>514984</wp:posOffset>
              </wp:positionH>
              <wp:positionV relativeFrom="page">
                <wp:posOffset>10237469</wp:posOffset>
              </wp:positionV>
              <wp:extent cx="0" cy="12702"/>
              <wp:effectExtent l="0" t="0" r="0" b="0"/>
              <wp:wrapNone/>
              <wp:docPr id="1073741828" name="officeArt object" descr="Connettore 2 27"/>
              <wp:cNvGraphicFramePr/>
              <a:graphic xmlns:a="http://schemas.openxmlformats.org/drawingml/2006/main">
                <a:graphicData uri="http://schemas.microsoft.com/office/word/2010/wordprocessingShape">
                  <wps:wsp>
                    <wps:cNvCnPr/>
                    <wps:spPr>
                      <a:xfrm>
                        <a:off x="0" y="0"/>
                        <a:ext cx="0" cy="12702"/>
                      </a:xfrm>
                      <a:prstGeom prst="line">
                        <a:avLst/>
                      </a:prstGeom>
                      <a:noFill/>
                      <a:ln w="9525" cap="flat">
                        <a:solidFill>
                          <a:srgbClr val="000000"/>
                        </a:solidFill>
                        <a:prstDash val="solid"/>
                        <a:miter lim="800000"/>
                      </a:ln>
                      <a:effectLst/>
                    </wps:spPr>
                    <wps:bodyPr/>
                  </wps:wsp>
                </a:graphicData>
              </a:graphic>
            </wp:anchor>
          </w:drawing>
        </mc:Choice>
        <mc:Fallback>
          <w:pict>
            <v:line id="_x0000_s1026" style="visibility:visible;position:absolute;margin-left:40.5pt;margin-top:806.1pt;width:0.0pt;height:1.0pt;z-index:-25165516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sidR="00485676">
      <w:rPr>
        <w:noProof/>
      </w:rPr>
      <w:drawing>
        <wp:anchor distT="152400" distB="152400" distL="152400" distR="152400" simplePos="0" relativeHeight="251662336" behindDoc="1" locked="0" layoutInCell="1" allowOverlap="1" wp14:anchorId="170B787B" wp14:editId="2E19D1EA">
          <wp:simplePos x="0" y="0"/>
          <wp:positionH relativeFrom="page">
            <wp:posOffset>5552480</wp:posOffset>
          </wp:positionH>
          <wp:positionV relativeFrom="page">
            <wp:posOffset>10499089</wp:posOffset>
          </wp:positionV>
          <wp:extent cx="1472400" cy="432000"/>
          <wp:effectExtent l="0" t="0" r="0" b="0"/>
          <wp:wrapNone/>
          <wp:docPr id="1073741829" name="officeArt object" descr="Immagine 140365526"/>
          <wp:cNvGraphicFramePr/>
          <a:graphic xmlns:a="http://schemas.openxmlformats.org/drawingml/2006/main">
            <a:graphicData uri="http://schemas.openxmlformats.org/drawingml/2006/picture">
              <pic:pic xmlns:pic="http://schemas.openxmlformats.org/drawingml/2006/picture">
                <pic:nvPicPr>
                  <pic:cNvPr id="1073741829" name="Immagine 140365526" descr="Immagine 140365526"/>
                  <pic:cNvPicPr>
                    <a:picLocks noChangeAspect="1"/>
                  </pic:cNvPicPr>
                </pic:nvPicPr>
                <pic:blipFill>
                  <a:blip r:embed="rId4"/>
                  <a:stretch>
                    <a:fillRect/>
                  </a:stretch>
                </pic:blipFill>
                <pic:spPr>
                  <a:xfrm>
                    <a:off x="0" y="0"/>
                    <a:ext cx="1472400" cy="432000"/>
                  </a:xfrm>
                  <a:prstGeom prst="rect">
                    <a:avLst/>
                  </a:prstGeom>
                  <a:ln w="12700" cap="flat">
                    <a:noFill/>
                    <a:miter lim="400000"/>
                  </a:ln>
                  <a:effectLst/>
                </pic:spPr>
              </pic:pic>
            </a:graphicData>
          </a:graphic>
        </wp:anchor>
      </w:drawing>
    </w:r>
  </w:p>
  <w:p w14:paraId="3048C40D" w14:textId="77777777" w:rsidR="003A0C78" w:rsidRDefault="003A0C78">
    <w:pPr>
      <w:pStyle w:val="Normal0"/>
      <w:jc w:val="center"/>
      <w:rPr>
        <w:rStyle w:val="Hyperlink2"/>
        <w:rFonts w:ascii="Lato" w:eastAsia="Lato" w:hAnsi="Lato" w:cs="Lato"/>
        <w:sz w:val="30"/>
        <w:szCs w:val="30"/>
      </w:rPr>
    </w:pPr>
  </w:p>
  <w:p w14:paraId="7295E489" w14:textId="77777777" w:rsidR="003A0C78" w:rsidRDefault="003A0C78">
    <w:pPr>
      <w:pStyle w:val="Normal0"/>
    </w:pPr>
  </w:p>
  <w:p w14:paraId="7B6D61DA" w14:textId="77777777" w:rsidR="003A0C78" w:rsidRDefault="003A0C78">
    <w:pPr>
      <w:pStyle w:val="Normal0"/>
    </w:pPr>
  </w:p>
  <w:p w14:paraId="2E4FD704" w14:textId="77777777" w:rsidR="003A0C78" w:rsidRDefault="00485676">
    <w:pPr>
      <w:pStyle w:val="Normal0"/>
      <w:rPr>
        <w:rFonts w:ascii="Lato" w:eastAsia="Lato" w:hAnsi="Lato" w:cs="Lato"/>
        <w:color w:val="00B0F0"/>
        <w:sz w:val="27"/>
        <w:szCs w:val="27"/>
        <w:u w:color="00B0F0"/>
      </w:rPr>
    </w:pPr>
    <w:r>
      <w:rPr>
        <w:rFonts w:ascii="Lato" w:eastAsia="Lato" w:hAnsi="Lato" w:cs="Lato"/>
        <w:color w:val="00B0F0"/>
        <w:sz w:val="27"/>
        <w:szCs w:val="27"/>
        <w:u w:color="00B0F0"/>
      </w:rPr>
      <w:t xml:space="preserve">   </w:t>
    </w:r>
  </w:p>
  <w:p w14:paraId="47F880CE" w14:textId="44B79F1C" w:rsidR="003A0C78" w:rsidRDefault="00485676">
    <w:pPr>
      <w:pStyle w:val="Normal0"/>
      <w:jc w:val="center"/>
      <w:rPr>
        <w:rStyle w:val="Nessuno"/>
        <w:rFonts w:ascii="Lato" w:eastAsia="Lato" w:hAnsi="Lato" w:cs="Lato"/>
        <w:sz w:val="30"/>
        <w:szCs w:val="30"/>
      </w:rPr>
    </w:pPr>
    <w:hyperlink r:id="rId5" w:history="1">
      <w:r>
        <w:rPr>
          <w:rStyle w:val="Hyperlink0"/>
        </w:rPr>
        <w:t>www.aquafarmexpo.it</w:t>
      </w:r>
    </w:hyperlink>
    <w:r>
      <w:rPr>
        <w:rStyle w:val="Hyperlink2"/>
      </w:rPr>
      <w:tab/>
    </w:r>
    <w:r>
      <w:rPr>
        <w:rStyle w:val="Nessuno"/>
        <w:color w:val="6A9A3D"/>
        <w:u w:color="6A9A3D"/>
      </w:rPr>
      <w:t xml:space="preserve"> </w:t>
    </w:r>
    <w:r>
      <w:rPr>
        <w:rStyle w:val="Nessuno"/>
        <w:rFonts w:ascii="Lato" w:eastAsia="Lato" w:hAnsi="Lato" w:cs="Lato"/>
        <w:color w:val="2F5496"/>
        <w:sz w:val="30"/>
        <w:szCs w:val="30"/>
        <w:u w:color="2F5496"/>
      </w:rPr>
      <w:t>18 - 19 FEB</w:t>
    </w:r>
    <w:r w:rsidR="00B6608A">
      <w:rPr>
        <w:rStyle w:val="Nessuno"/>
        <w:rFonts w:ascii="Lato" w:eastAsia="Lato" w:hAnsi="Lato" w:cs="Lato"/>
        <w:color w:val="2F5496"/>
        <w:sz w:val="30"/>
        <w:szCs w:val="30"/>
        <w:u w:color="2F5496"/>
      </w:rPr>
      <w:t>RUARY</w:t>
    </w:r>
    <w:r>
      <w:rPr>
        <w:rStyle w:val="Nessuno"/>
        <w:rFonts w:ascii="Lato" w:eastAsia="Lato" w:hAnsi="Lato" w:cs="Lato"/>
        <w:color w:val="2F5496"/>
        <w:sz w:val="30"/>
        <w:szCs w:val="30"/>
        <w:u w:color="2F5496"/>
      </w:rPr>
      <w:t xml:space="preserve"> 2026, Pordenone</w:t>
    </w:r>
  </w:p>
  <w:p w14:paraId="23723C33" w14:textId="77777777" w:rsidR="003A0C78" w:rsidRDefault="003A0C78">
    <w:pPr>
      <w:pStyle w:val="Normal0"/>
      <w:jc w:val="right"/>
      <w:rPr>
        <w:rStyle w:val="Nessuno"/>
        <w:rFonts w:ascii="Lato" w:eastAsia="Lato" w:hAnsi="Lato" w:cs="Lato"/>
        <w:b/>
        <w:bCs/>
        <w:color w:val="D0CECE"/>
        <w:u w:color="D0CECE"/>
      </w:rPr>
    </w:pPr>
  </w:p>
  <w:p w14:paraId="707C3070" w14:textId="5533345F" w:rsidR="003A0C78" w:rsidRDefault="00B6608A">
    <w:pPr>
      <w:pStyle w:val="Normal0"/>
      <w:jc w:val="center"/>
    </w:pPr>
    <w:r>
      <w:rPr>
        <w:rStyle w:val="Nessuno"/>
        <w:rFonts w:ascii="Lato" w:eastAsia="Lato" w:hAnsi="Lato" w:cs="Lato"/>
        <w:color w:val="00B0F0"/>
        <w:sz w:val="27"/>
        <w:szCs w:val="27"/>
        <w:u w:color="00B0F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78"/>
    <w:rsid w:val="00014A08"/>
    <w:rsid w:val="000C1464"/>
    <w:rsid w:val="0026065F"/>
    <w:rsid w:val="00353CEB"/>
    <w:rsid w:val="003A0C78"/>
    <w:rsid w:val="00414079"/>
    <w:rsid w:val="00485676"/>
    <w:rsid w:val="00497288"/>
    <w:rsid w:val="006821A2"/>
    <w:rsid w:val="00693F11"/>
    <w:rsid w:val="00704C28"/>
    <w:rsid w:val="008B3D55"/>
    <w:rsid w:val="009172FC"/>
    <w:rsid w:val="009678A0"/>
    <w:rsid w:val="009A7118"/>
    <w:rsid w:val="00AC6DC6"/>
    <w:rsid w:val="00B6608A"/>
    <w:rsid w:val="00C33797"/>
    <w:rsid w:val="00E403C6"/>
    <w:rsid w:val="00F14B0D"/>
    <w:rsid w:val="00F60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1B68"/>
  <w15:docId w15:val="{FA67591B-8587-4A87-89C7-6036EB96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0">
    <w:name w:val="Normal0"/>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Hyperlink2">
    <w:name w:val="Hyperlink.2"/>
  </w:style>
  <w:style w:type="character" w:customStyle="1" w:styleId="Nessuno">
    <w:name w:val="Nessuno"/>
  </w:style>
  <w:style w:type="character" w:customStyle="1" w:styleId="Hyperlink0">
    <w:name w:val="Hyperlink.0"/>
    <w:basedOn w:val="Nessuno"/>
    <w:rPr>
      <w:rFonts w:ascii="Lato" w:eastAsia="Lato" w:hAnsi="Lato" w:cs="Lato"/>
      <w:outline w:val="0"/>
      <w:color w:val="2F5496"/>
      <w:sz w:val="27"/>
      <w:szCs w:val="27"/>
      <w:u w:val="single" w:color="2F5496"/>
    </w:rPr>
  </w:style>
  <w:style w:type="character" w:customStyle="1" w:styleId="Hyperlink1">
    <w:name w:val="Hyperlink.1"/>
    <w:basedOn w:val="Nessuno"/>
    <w:rPr>
      <w:rFonts w:ascii="Lato Light" w:eastAsia="Lato Light" w:hAnsi="Lato Light" w:cs="Lato Light"/>
      <w:outline w:val="0"/>
      <w:color w:val="00B050"/>
      <w:sz w:val="14"/>
      <w:szCs w:val="14"/>
      <w:u w:val="single" w:color="00B050"/>
      <w:lang w:val="en-US"/>
    </w:rPr>
  </w:style>
  <w:style w:type="paragraph" w:customStyle="1" w:styleId="DidefaultA">
    <w:name w:val="Di default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Intestazione">
    <w:name w:val="header"/>
    <w:basedOn w:val="Normale"/>
    <w:link w:val="IntestazioneCarattere"/>
    <w:uiPriority w:val="99"/>
    <w:unhideWhenUsed/>
    <w:rsid w:val="00B6608A"/>
    <w:pPr>
      <w:tabs>
        <w:tab w:val="center" w:pos="4819"/>
        <w:tab w:val="right" w:pos="9638"/>
      </w:tabs>
    </w:pPr>
  </w:style>
  <w:style w:type="character" w:customStyle="1" w:styleId="IntestazioneCarattere">
    <w:name w:val="Intestazione Carattere"/>
    <w:basedOn w:val="Carpredefinitoparagrafo"/>
    <w:link w:val="Intestazione"/>
    <w:uiPriority w:val="99"/>
    <w:rsid w:val="00B6608A"/>
    <w:rPr>
      <w:sz w:val="24"/>
      <w:szCs w:val="24"/>
      <w:lang w:val="en-US" w:eastAsia="en-US"/>
    </w:rPr>
  </w:style>
  <w:style w:type="paragraph" w:styleId="Pidipagina">
    <w:name w:val="footer"/>
    <w:basedOn w:val="Normale"/>
    <w:link w:val="PidipaginaCarattere"/>
    <w:uiPriority w:val="99"/>
    <w:unhideWhenUsed/>
    <w:rsid w:val="00B6608A"/>
    <w:pPr>
      <w:tabs>
        <w:tab w:val="center" w:pos="4819"/>
        <w:tab w:val="right" w:pos="9638"/>
      </w:tabs>
    </w:pPr>
  </w:style>
  <w:style w:type="character" w:customStyle="1" w:styleId="PidipaginaCarattere">
    <w:name w:val="Piè di pagina Carattere"/>
    <w:basedOn w:val="Carpredefinitoparagrafo"/>
    <w:link w:val="Pidipagina"/>
    <w:uiPriority w:val="99"/>
    <w:rsid w:val="00B6608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vatore@studiocomelli.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eraporden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aquafarmexpo.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1166</Words>
  <Characters>6828</Characters>
  <Application>Microsoft Office Word</Application>
  <DocSecurity>0</DocSecurity>
  <Lines>104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De Odorico</cp:lastModifiedBy>
  <cp:revision>15</cp:revision>
  <dcterms:created xsi:type="dcterms:W3CDTF">2026-03-02T08:16:00Z</dcterms:created>
  <dcterms:modified xsi:type="dcterms:W3CDTF">2026-03-02T08:58:00Z</dcterms:modified>
</cp:coreProperties>
</file>