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0"/>
        <w:jc w:val="center"/>
        <w:rPr>
          <w:rStyle w:val="Nessuno"/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Normal0"/>
        <w:spacing w:line="259" w:lineRule="auto"/>
        <w:jc w:val="center"/>
        <w:rPr>
          <w:rStyle w:val="Nessuno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AquaFarm 2026: a Pordenone si </w:t>
      </w:r>
      <w:r>
        <w:rPr>
          <w:rStyle w:val="Nessuno"/>
          <w:rFonts w:ascii="Helvetica" w:hAnsi="Helvetica" w:hint="default"/>
          <w:b w:val="1"/>
          <w:bCs w:val="1"/>
          <w:sz w:val="32"/>
          <w:szCs w:val="32"/>
          <w:rtl w:val="0"/>
          <w:lang w:val="it-IT"/>
        </w:rPr>
        <w:t xml:space="preserve">è 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>riunito il mondo dell</w:t>
      </w:r>
      <w:r>
        <w:rPr>
          <w:rStyle w:val="Nessuno"/>
          <w:rFonts w:ascii="Helvetica" w:hAnsi="Helvetica" w:hint="default"/>
          <w:b w:val="1"/>
          <w:bCs w:val="1"/>
          <w:sz w:val="32"/>
          <w:szCs w:val="3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>acquacoltura con oltre 2000 partecipanti</w:t>
      </w:r>
    </w:p>
    <w:p>
      <w:pPr>
        <w:pStyle w:val="Normal0"/>
        <w:spacing w:line="259" w:lineRule="auto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Normal0"/>
        <w:jc w:val="center"/>
        <w:rPr>
          <w:rStyle w:val="Nessuno"/>
          <w:rFonts w:ascii="Helvetica" w:cs="Helvetica" w:hAnsi="Helvetica" w:eastAsia="Helvetica"/>
          <w:i w:val="1"/>
          <w:iCs w:val="1"/>
          <w:sz w:val="26"/>
          <w:szCs w:val="26"/>
        </w:rPr>
      </w:pP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Ad AquaFarm confermata l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affluenza del 2025 con pi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 xml:space="preserve">ù 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di 2000 partecipanti. Novit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di quest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anno la prima edizione di AquaFishery, l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evento dedicato alla pesca artigianale e professionale su piccola scala</w:t>
      </w:r>
    </w:p>
    <w:p>
      <w:pPr>
        <w:pStyle w:val="Normal0"/>
        <w:jc w:val="center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Pordenone,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27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 febbraio 2026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Si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chiusa la 9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ª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edizione di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AquaFarm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, mostra-convegno internazionale dedicata ad acquacoltura, molluschicoltura, pesca artigianale e su piccola scala e produzione di alghe, in programma a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Pordenone Fiere</w:t>
      </w:r>
      <w:r>
        <w:rPr>
          <w:rFonts w:ascii="Helvetica" w:hAnsi="Helvetica"/>
          <w:sz w:val="22"/>
          <w:szCs w:val="22"/>
          <w:rtl w:val="0"/>
          <w:lang w:val="it-IT"/>
        </w:rPr>
        <w:t>.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Anche quest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anno la manifestazione si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confermata punto di riferimento per il mercato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acquacoltura, richiamando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oltre 2.000 partecipanti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e proponendo un ricco programma di conferenze con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25 sessioni di lavoro</w:t>
      </w:r>
      <w:r>
        <w:rPr>
          <w:rFonts w:ascii="Helvetica" w:hAnsi="Helvetica"/>
          <w:sz w:val="22"/>
          <w:szCs w:val="22"/>
          <w:rtl w:val="0"/>
          <w:lang w:val="it-IT"/>
        </w:rPr>
        <w:t>, affiancate da un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ampia area espositiva internazionale di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6.000 metri quadrati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con oltre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 120 tra espositori e marchi</w:t>
      </w:r>
      <w:r>
        <w:rPr>
          <w:rFonts w:ascii="Helvetica" w:hAnsi="Helvetica"/>
          <w:sz w:val="22"/>
          <w:szCs w:val="22"/>
          <w:rtl w:val="0"/>
          <w:lang w:val="it-IT"/>
        </w:rPr>
        <w:t>.</w:t>
      </w:r>
    </w:p>
    <w:p>
      <w:pPr>
        <w:pStyle w:val="Normal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La sessione di apertura del primo giorno di Fiera ha trattato di decarbonizzazione, sostenibilit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e sostegno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acquacoltura. Introdotta dal Presidente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it-IT"/>
        </w:rPr>
        <w:t>di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 Pordenone Fiere Renato Pujatti</w:t>
      </w:r>
      <w:r>
        <w:rPr>
          <w:rFonts w:ascii="Helvetica" w:hAnsi="Helvetica"/>
          <w:sz w:val="22"/>
          <w:szCs w:val="22"/>
          <w:rtl w:val="0"/>
          <w:lang w:val="it-IT"/>
        </w:rPr>
        <w:t>, con gli interventi di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Federico Pinza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e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Matteo Leonardi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, presidenti rispettivamente di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AMA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e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API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,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ha visto il contributo di: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Evi Lardi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, DG Mare della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Commissione Europea</w:t>
      </w:r>
      <w:r>
        <w:rPr>
          <w:rFonts w:ascii="Helvetica" w:hAnsi="Helvetica"/>
          <w:sz w:val="22"/>
          <w:szCs w:val="22"/>
          <w:rtl w:val="0"/>
          <w:lang w:val="it-IT"/>
        </w:rPr>
        <w:t>, sui programmi di sostegno 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acquacoltura per la decarbonizzazione;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Giovanna Marino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ISPRA,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che ha trattato del programma di definizione delle Zone Vocate 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Acquacoltura. 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La sessione si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conclusa con la FAO, che ha deciso di tenere in ambito AquaFarm la tappa italiana del suo seminario itinerante sull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attuazione delle Linee guida per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Acquacoltura Sostenibile. 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Diversi gli appuntamenti di mercato che si sono susseguiti nella due giorni di Pordenone. Nel pomeriggio della prima giornata si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svolta la seconda edizione del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Bilaterale Italia 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Spagna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, organizzato dal portale spagnolo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misPeces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,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da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API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e da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AMA</w:t>
      </w:r>
      <w:r>
        <w:rPr>
          <w:rFonts w:ascii="Helvetica" w:hAnsi="Helvetica"/>
          <w:sz w:val="22"/>
          <w:szCs w:val="22"/>
          <w:rtl w:val="0"/>
          <w:lang w:val="it-IT"/>
        </w:rPr>
        <w:t>, che ha coinvolto le associazioni iberiche ed italiane del settore e che quest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anno ha trattato un tema particolarmente sentito dagli operatori delle due nazioni: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“</w:t>
      </w:r>
      <w:r>
        <w:rPr>
          <w:rFonts w:ascii="Helvetica" w:hAnsi="Helvetica"/>
          <w:sz w:val="22"/>
          <w:szCs w:val="22"/>
          <w:rtl w:val="0"/>
          <w:lang w:val="it-IT"/>
        </w:rPr>
        <w:t>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acquacoltura mediterranea tra mislabeling: applicazione delle regole di etichettatura nel canale Ho.Re.Ca.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”</w:t>
      </w:r>
    </w:p>
    <w:p>
      <w:pPr>
        <w:pStyle w:val="Normal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argomento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stato ripreso anche nei due appuntamenti di apertura della seconda giornata. Per prima la sessione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“</w:t>
      </w:r>
      <w:r>
        <w:rPr>
          <w:rFonts w:ascii="Helvetica" w:hAnsi="Helvetica"/>
          <w:sz w:val="22"/>
          <w:szCs w:val="22"/>
          <w:rtl w:val="0"/>
          <w:lang w:val="it-IT"/>
        </w:rPr>
        <w:t>Strategie, strumenti e azioni per uno sviluppo sostenibile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acquacoltura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”</w:t>
      </w:r>
      <w:r>
        <w:rPr>
          <w:rFonts w:ascii="Helvetica" w:hAnsi="Helvetica"/>
          <w:sz w:val="22"/>
          <w:szCs w:val="22"/>
          <w:rtl w:val="0"/>
          <w:lang w:val="it-IT"/>
        </w:rPr>
        <w:t>, in cui ha preso parte Graziella Romito direttrice generale della Pesca e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Acquacoltura del Ministero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Agricoltura, della Sovranit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Alimentare e delle Foreste, con gli interventi: Pier Antonio Salvador per Copa Cogeca, Federico Pinza per AMA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Associazione Mediterranea Acquacoltori e Matteo Leonardi per API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Associazione Piscicoltori Italiani. Valentina Tepedino, Direttore Eurofishmarket nella sua relazione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“</w:t>
      </w:r>
      <w:r>
        <w:rPr>
          <w:rFonts w:ascii="Helvetica" w:hAnsi="Helvetica"/>
          <w:sz w:val="22"/>
          <w:szCs w:val="22"/>
          <w:rtl w:val="0"/>
          <w:lang w:val="it-IT"/>
        </w:rPr>
        <w:t>Etichettatura e valorizzazione commerciale dei prodotti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acquacoltura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” </w:t>
      </w:r>
      <w:r>
        <w:rPr>
          <w:rFonts w:ascii="Helvetica" w:hAnsi="Helvetica"/>
          <w:sz w:val="22"/>
          <w:szCs w:val="22"/>
          <w:rtl w:val="0"/>
          <w:lang w:val="it-IT"/>
        </w:rPr>
        <w:t>ha sottolineato che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origine italiana del prodotto ittico non basta a definirne la qualit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à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. Infatti, la sicurezza igienico-sanitaria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un prerequisito e dunque ha evidenziato la necessit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di valorizzare aspetti aggiuntivi come sostenibilit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e benessere animale, oggi non distinguibili chiaramente in etichetta. A tal proposito ha proposto linee guida o checklist condivise, utili a consumatori e distributori per riconoscere e premiare i produttori di acquacoltura pi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ù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virtuosi. La discussione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proseguita nella sessione successiva, con il contributo aggiuntivo di importanti rappresentanti della domanda che si sono confrontati con gli operatori del lato offerta portando il proprio punto di vista e quello dei consumatori.</w:t>
      </w:r>
    </w:p>
    <w:p>
      <w:pPr>
        <w:pStyle w:val="Normal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La novit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di quest'anno, AquaFishery,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area tematica che ha introdotto per la prima volta ad AquaFarm le tematiche legate alla pesca artigianale e su piccola scala, ha avuto il suo momento convegnistico con una sessione in cui le associazioni dei pescatori hanno potuto confrontarsi sulle diverse criticit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e prospettive del settore. Sono stati presentati alcuni dei pi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ù </w:t>
      </w:r>
      <w:r>
        <w:rPr>
          <w:rFonts w:ascii="Helvetica" w:hAnsi="Helvetica"/>
          <w:sz w:val="22"/>
          <w:szCs w:val="22"/>
          <w:rtl w:val="0"/>
          <w:lang w:val="it-IT"/>
        </w:rPr>
        <w:t>recenti risultati della ricerca accademica e industriale in alcune tematiche di interesse, dai nuovi ritrovati per abbattere il mercurio nel tonno lavorato alle potenzialit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per estrarre valore dalle reti da pesca a fin vita e nuovi sistemi intelligenti di pesatura del pescato.</w:t>
      </w:r>
    </w:p>
    <w:p>
      <w:pPr>
        <w:pStyle w:val="Normal0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I convegni a sfondo scientifico sono stati molto seguiti. Da quello dedicato ai mangimi funzionali per le specie ittiche e dagli effetti positivi sugli animali e sulla qualit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percepita del prodotto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emerso da una parte che un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alimentazione di precisione con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“</w:t>
      </w:r>
      <w:r>
        <w:rPr>
          <w:rFonts w:ascii="Helvetica" w:hAnsi="Helvetica"/>
          <w:sz w:val="22"/>
          <w:szCs w:val="22"/>
          <w:rtl w:val="0"/>
          <w:lang w:val="it-IT"/>
        </w:rPr>
        <w:t>ricette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” </w:t>
      </w:r>
      <w:r>
        <w:rPr>
          <w:rFonts w:ascii="Helvetica" w:hAnsi="Helvetica"/>
          <w:sz w:val="22"/>
          <w:szCs w:val="22"/>
          <w:rtl w:val="0"/>
          <w:lang w:val="it-IT"/>
        </w:rPr>
        <w:t>variabili garantisce una stabilit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di contenuto nutritivo superiore, dall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altra che la percezione della qualit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varia moltissimo nel consumatore in base 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attitudine al consumo di prodotti ittici. Ci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ò è </w:t>
      </w:r>
      <w:r>
        <w:rPr>
          <w:rFonts w:ascii="Helvetica" w:hAnsi="Helvetica"/>
          <w:sz w:val="22"/>
          <w:szCs w:val="22"/>
          <w:rtl w:val="0"/>
          <w:lang w:val="it-IT"/>
        </w:rPr>
        <w:t>influenzato da fattori di predisposizione nel pubblico generale, positivamente dai claim di sostenibilit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(suffragati da adeguate spiegazioni), negativamente da reazioni emotive e istintive, per esempio nei confronti di animali alimentati con mangimi a base di insetti, quando le stesse specie in natura hanno una dieta largamente insettivora.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Grande interesse sta riscontrando il tema delle nuove acquacolture, cui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stata dedicata un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apposita sessione. Quelle a ricircolo d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 (RAS), vengono viste negli allevamenti in ambiente dolce come un modo per garantire acqua di alta qualit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in presenza di variazioni sempre pi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ù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imprevedibili nel regime naturale, e in quelli in acqua salata per introdurre nuove specie, come i gamberetti, oggi importati da zone ad alto rischio di contaminazione. 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Altissima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attenzione sull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acquacoltura multitrofica, che gode di finanziamenti alla ricerca a livello europeo, anche in ambiente marino, dove prende il nome di aloponica, per assonanza con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acquaponica in ambiente terrestre.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idea di fondo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di accompagnare 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allevamento delle specie tradizionali anche la coltura di variet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à</w:t>
      </w:r>
      <w:r>
        <w:rPr>
          <w:rFonts w:ascii="Helvetica" w:hAnsi="Helvetica"/>
          <w:sz w:val="22"/>
          <w:szCs w:val="22"/>
          <w:rtl w:val="0"/>
          <w:lang w:val="it-IT"/>
        </w:rPr>
        <w:t>, come le macroalghe e le piante acquatiche (salicornia, agretti, posidonia), che possono fornire prodotti di valore o anche solo contribuire al riequilibrio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ambiente marino. In tutti i casi, il recupero e valorizzazione degli scarti e dei reflui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di importanza fondamentale, per la produzione di biogas/biometano e di ammendanti e concimi.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La sessione sulle tecnologie emergenti ha visto quattro punti di attenzione da parte della comunit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scientifica: lo sviluppo di modelli informatici (gemelli digitali) degli allevamenti, utilizzando un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ampia variet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di sensori per la raccolta dei dati;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utilizzo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intelligenza artificiale in diversi settori, dalle previsioni del tempo ad altissima granularit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(quella tipica degli allevamenti in mare) 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interpretazione di 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enormi masse di dati che i moderni strumenti di laboratorio mettono a disposizione dei ricercatori;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uso della robotica autonoma sia per il monitoraggio degli ambienti di allevamento che per la raccolta persistente di dati utili alla gestione proattiva;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indagine su fattori ambientali finora trascurati sullo sviluppo e sul benessere delle specie ittiche in allevamento, in primis il rumore.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Il programma delle conferenze si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chiuso con le due sessioni dedicate ad AlgaeFarm, che hanno visto per la prima volta allargare il campo di interesse alle macroalghe, anche in seguito 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attenzione gi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ricordata per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acquacoltura multitrofica, in particolare, in Italia, dai produttori di molluschi, e ai progressi in corso nell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ambito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utilizzo di microalghe come bioraffinerie per la trasformazione e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estrazione di sostanze utili, come i carotenoidi, da scarti e reflui alimentari.</w:t>
      </w: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Gli atti dei convegni saranno disponibili entro breve tempo sul sito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evento </w:t>
      </w:r>
      <w:r>
        <w:rPr>
          <w:rFonts w:ascii="Helvetica" w:cs="Helvetica" w:hAnsi="Helvetica" w:eastAsia="Helvetica"/>
          <w:sz w:val="22"/>
          <w:szCs w:val="22"/>
        </w:rPr>
        <w:fldChar w:fldCharType="begin" w:fldLock="0"/>
      </w:r>
      <w:r>
        <w:rPr>
          <w:rFonts w:ascii="Helvetica" w:cs="Helvetica" w:hAnsi="Helvetica" w:eastAsia="Helvetica"/>
          <w:sz w:val="22"/>
          <w:szCs w:val="22"/>
        </w:rPr>
        <w:instrText xml:space="preserve"> HYPERLINK "https://www.aquafarmexpo.it"</w:instrText>
      </w:r>
      <w:r>
        <w:rPr>
          <w:rFonts w:ascii="Helvetica" w:cs="Helvetica" w:hAnsi="Helvetica" w:eastAsia="Helvetica"/>
          <w:sz w:val="22"/>
          <w:szCs w:val="22"/>
        </w:rPr>
        <w:fldChar w:fldCharType="separate" w:fldLock="0"/>
      </w:r>
      <w:r>
        <w:rPr>
          <w:rFonts w:ascii="Helvetica" w:hAnsi="Helvetica"/>
          <w:sz w:val="22"/>
          <w:szCs w:val="22"/>
          <w:rtl w:val="0"/>
          <w:lang w:val="it-IT"/>
        </w:rPr>
        <w:t>www.aquafarmexpo.it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  <w:r>
        <w:rPr>
          <w:rFonts w:ascii="Helvetica" w:hAnsi="Helvetica"/>
          <w:sz w:val="22"/>
          <w:szCs w:val="22"/>
          <w:rtl w:val="0"/>
          <w:lang w:val="it-IT"/>
        </w:rPr>
        <w:t xml:space="preserve">. La prossima edizione di AquaFarm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gi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programmata per il 17-18 febbraio 2027. A presto!</w:t>
      </w:r>
    </w:p>
    <w:p>
      <w:pPr>
        <w:pStyle w:val="Normal0"/>
        <w:jc w:val="both"/>
        <w:rPr>
          <w:rFonts w:ascii="Helvetica" w:cs="Helvetica" w:hAnsi="Helvetica" w:eastAsia="Helvetica"/>
        </w:rPr>
      </w:pPr>
    </w:p>
    <w:p>
      <w:pPr>
        <w:pStyle w:val="Normal0"/>
        <w:jc w:val="both"/>
        <w:rPr>
          <w:rStyle w:val="Nessuno"/>
          <w:rFonts w:ascii="Helvetica" w:cs="Helvetica" w:hAnsi="Helvetica" w:eastAsia="Helvetica"/>
          <w:i w:val="1"/>
          <w:iCs w:val="1"/>
          <w:sz w:val="18"/>
          <w:szCs w:val="18"/>
        </w:rPr>
      </w:pP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AquaFarm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 xml:space="preserve"> è 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unica mostra-convegno internazionale in Italia sull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acquacoltura e 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industria della pesca sostenibile, organizzata da Pordenone Fiere in collaborazione con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le associazioni del settore, 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e con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Studio Comelli </w:t>
      </w:r>
      <w:r>
        <w:rPr>
          <w:rStyle w:val="Nessuno"/>
          <w:rFonts w:ascii="Helvetica" w:hAnsi="Helvetica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–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Conferences&amp;Communication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, che cura i contenuti delle conferenze e 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ufficio stampa. Nata nel 2017, da sempre estende la sua attenzione a tutte le aree della produzione innovativa e sostenibile di cibo. Al suo interno due aree tematiche che la accompagnano: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AlgaeFarm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, dedicata alla coltivazione delle microalghe e degli altri microorganismi e la nuova arrivata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AquaFishery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, dedicata alla pesca artigianale e professionale.  </w:t>
      </w:r>
    </w:p>
    <w:p>
      <w:pPr>
        <w:pStyle w:val="Normal0"/>
        <w:rPr>
          <w:rFonts w:ascii="Helvetica" w:cs="Helvetica" w:hAnsi="Helvetica" w:eastAsia="Helvetica"/>
        </w:rPr>
      </w:pPr>
    </w:p>
    <w:p>
      <w:pPr>
        <w:pStyle w:val="Di default A"/>
        <w:suppressAutoHyphens w:val="1"/>
        <w:spacing w:before="0" w:line="240" w:lineRule="auto"/>
        <w:rPr>
          <w:rStyle w:val="Nessuno"/>
          <w:rFonts w:ascii="Helvetica" w:cs="Helvetica" w:hAnsi="Helvetica" w:eastAsia="Helvetica"/>
          <w:b w:val="1"/>
          <w:bCs w:val="1"/>
          <w:i w:val="1"/>
          <w:iCs w:val="1"/>
          <w:sz w:val="16"/>
          <w:szCs w:val="16"/>
        </w:rPr>
      </w:pPr>
      <w:r>
        <w:rPr>
          <w:rStyle w:val="Nessuno"/>
          <w:rFonts w:ascii="Helvetica" w:hAnsi="Helvetica"/>
          <w:b w:val="1"/>
          <w:bCs w:val="1"/>
          <w:i w:val="1"/>
          <w:iCs w:val="1"/>
          <w:sz w:val="16"/>
          <w:szCs w:val="16"/>
          <w:rtl w:val="0"/>
          <w:lang w:val="it-IT"/>
        </w:rPr>
        <w:t xml:space="preserve">Uffici stampa </w:t>
      </w:r>
    </w:p>
    <w:p>
      <w:pPr>
        <w:pStyle w:val="Di default A"/>
        <w:suppressAutoHyphens w:val="1"/>
        <w:spacing w:before="0" w:line="240" w:lineRule="auto"/>
        <w:rPr>
          <w:rStyle w:val="Nessuno"/>
          <w:rFonts w:ascii="Helvetica" w:cs="Helvetica" w:hAnsi="Helvetica" w:eastAsia="Helvetica"/>
          <w:i w:val="1"/>
          <w:iCs w:val="1"/>
          <w:sz w:val="16"/>
          <w:szCs w:val="16"/>
        </w:rPr>
      </w:pP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Salvatore Bruno </w:t>
      </w:r>
      <w:r>
        <w:rPr>
          <w:rStyle w:val="Nessuno"/>
          <w:rFonts w:ascii="Helvetica" w:hAnsi="Helvetica" w:hint="default"/>
          <w:i w:val="1"/>
          <w:iCs w:val="1"/>
          <w:sz w:val="16"/>
          <w:szCs w:val="16"/>
          <w:rtl w:val="0"/>
          <w:lang w:val="it-IT"/>
        </w:rPr>
        <w:t xml:space="preserve">– </w:t>
      </w: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Studio Comelli - salvatore@studiocomelli.eu + 39 335 398913 </w:t>
      </w:r>
    </w:p>
    <w:p>
      <w:pPr>
        <w:pStyle w:val="Di default A"/>
        <w:suppressAutoHyphens w:val="1"/>
        <w:spacing w:before="0" w:line="240" w:lineRule="auto"/>
      </w:pP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Simona Maldarelli </w:t>
      </w:r>
      <w:r>
        <w:rPr>
          <w:rStyle w:val="Nessuno"/>
          <w:rFonts w:ascii="Helvetica" w:hAnsi="Helvetica" w:hint="default"/>
          <w:i w:val="1"/>
          <w:iCs w:val="1"/>
          <w:sz w:val="16"/>
          <w:szCs w:val="16"/>
          <w:rtl w:val="0"/>
          <w:lang w:val="it-IT"/>
        </w:rPr>
        <w:t xml:space="preserve">– </w:t>
      </w: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Pordenone Fiere </w:t>
      </w:r>
      <w:r>
        <w:rPr>
          <w:rStyle w:val="Nessuno"/>
          <w:rFonts w:ascii="Helvetica" w:hAnsi="Helvetica" w:hint="default"/>
          <w:i w:val="1"/>
          <w:iCs w:val="1"/>
          <w:sz w:val="16"/>
          <w:szCs w:val="16"/>
          <w:rtl w:val="0"/>
          <w:lang w:val="it-IT"/>
        </w:rPr>
        <w:t xml:space="preserve">– </w:t>
      </w: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>smaldarelli@fierapordenone.it + 39 380 3133728</w:t>
      </w:r>
    </w:p>
    <w:sectPr>
      <w:headerReference w:type="default" r:id="rId4"/>
      <w:footerReference w:type="default" r:id="rId5"/>
      <w:pgSz w:w="11900" w:h="16840" w:orient="portrait"/>
      <w:pgMar w:top="3119" w:right="851" w:bottom="1985" w:left="851" w:header="992" w:footer="19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Lato">
    <w:charset w:val="00"/>
    <w:family w:val="roman"/>
    <w:pitch w:val="default"/>
  </w:font>
  <w:font w:name="Lato Light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0"/>
      <w:spacing w:line="288" w:lineRule="auto"/>
      <w:ind w:left="7788" w:firstLine="0"/>
      <w:rPr>
        <w:rStyle w:val="Nessuno"/>
        <w:rFonts w:ascii="Lato" w:cs="Lato" w:hAnsi="Lato" w:eastAsia="Lato"/>
        <w:b w:val="1"/>
        <w:bCs w:val="1"/>
        <w:sz w:val="14"/>
        <w:szCs w:val="14"/>
      </w:rPr>
    </w:pPr>
    <w:r>
      <w:rPr>
        <w:rStyle w:val="Nessuno"/>
        <w:rFonts w:ascii="Lato" w:cs="Lato" w:hAnsi="Lato" w:eastAsia="Lato"/>
        <w:b w:val="1"/>
        <w:bCs w:val="1"/>
        <w:sz w:val="14"/>
        <w:szCs w:val="14"/>
        <w:rtl w:val="0"/>
        <w:lang w:val="it-IT"/>
      </w:rPr>
      <w:t>Convegni e comunicazione a cura di:</w:t>
    </w:r>
  </w:p>
  <w:p>
    <w:pPr>
      <w:pStyle w:val="Normal0"/>
      <w:spacing w:line="276" w:lineRule="auto"/>
      <w:rPr>
        <w:rStyle w:val="Nessuno"/>
        <w:rFonts w:ascii="Lato Light" w:cs="Lato Light" w:hAnsi="Lato Light" w:eastAsia="Lato Light"/>
        <w:sz w:val="14"/>
        <w:szCs w:val="14"/>
      </w:rPr>
    </w:pPr>
    <w:r>
      <w:rPr>
        <w:rStyle w:val="Nessuno"/>
        <w:rFonts w:ascii="Lato" w:cs="Lato" w:hAnsi="Lato" w:eastAsia="Lato"/>
        <w:b w:val="1"/>
        <w:bCs w:val="1"/>
        <w:sz w:val="14"/>
        <w:szCs w:val="14"/>
        <w:rtl w:val="0"/>
        <w:lang w:val="it-IT"/>
      </w:rPr>
      <w:t>Pordenone Fiere S.p.a.</w:t>
    </w:r>
    <w:r>
      <w:rPr>
        <w:rStyle w:val="Nessuno"/>
        <w:rFonts w:ascii="Lato Light" w:cs="Lato Light" w:hAnsi="Lato Light" w:eastAsia="Lato Light"/>
        <w:sz w:val="14"/>
        <w:szCs w:val="14"/>
        <w:rtl w:val="0"/>
        <w:lang w:val="it-IT"/>
      </w:rPr>
      <w:t xml:space="preserve"> - Viale Treviso 1 - 33170 Pordenone </w:t>
    </w:r>
    <w:r>
      <w:rPr>
        <w:rStyle w:val="Nessuno"/>
        <w:rFonts w:ascii="Lato Light" w:cs="Lato Light" w:hAnsi="Lato Light" w:eastAsia="Lato Light"/>
        <w:sz w:val="14"/>
        <w:szCs w:val="14"/>
        <w:rtl w:val="0"/>
        <w:lang w:val="it-IT"/>
      </w:rPr>
      <w:t xml:space="preserve">– </w:t>
    </w:r>
    <w:r>
      <w:rPr>
        <w:rStyle w:val="Nessuno"/>
        <w:rFonts w:ascii="Lato Light" w:cs="Lato Light" w:hAnsi="Lato Light" w:eastAsia="Lato Light"/>
        <w:sz w:val="14"/>
        <w:szCs w:val="14"/>
        <w:rtl w:val="0"/>
        <w:lang w:val="it-IT"/>
      </w:rPr>
      <w:t>Italy</w:t>
    </w:r>
  </w:p>
  <w:p>
    <w:pPr>
      <w:pStyle w:val="Normal0"/>
      <w:spacing w:line="276" w:lineRule="auto"/>
      <w:rPr>
        <w:rStyle w:val="Nessuno"/>
        <w:rFonts w:ascii="Lato" w:cs="Lato" w:hAnsi="Lato" w:eastAsia="Lato"/>
        <w:b w:val="1"/>
        <w:bCs w:val="1"/>
        <w:sz w:val="14"/>
        <w:szCs w:val="14"/>
        <w:lang w:val="en-US"/>
      </w:rPr>
    </w:pPr>
    <w:r>
      <w:rPr>
        <w:rStyle w:val="Nessuno"/>
        <w:rFonts w:ascii="Lato Light" w:cs="Lato Light" w:hAnsi="Lato Light" w:eastAsia="Lato Light"/>
        <w:sz w:val="14"/>
        <w:szCs w:val="14"/>
        <w:rtl w:val="0"/>
        <w:lang w:val="en-US"/>
      </w:rPr>
      <w:t>Tel. +39 0434 232111 - Fax +39 0434 570415</w:t>
      <w:tab/>
      <w:tab/>
    </w:r>
  </w:p>
  <w:p>
    <w:pPr>
      <w:pStyle w:val="Normal0"/>
      <w:spacing w:line="276" w:lineRule="auto"/>
      <w:rPr>
        <w:rStyle w:val="Nessuno"/>
        <w:rFonts w:ascii="Lato Light" w:cs="Lato Light" w:hAnsi="Lato Light" w:eastAsia="Lato Light"/>
        <w:sz w:val="14"/>
        <w:szCs w:val="14"/>
        <w:lang w:val="en-US"/>
      </w:rPr>
    </w:pPr>
    <w:r>
      <w:rPr>
        <w:rStyle w:val="Nessuno"/>
        <w:rFonts w:ascii="Lato Light" w:cs="Lato Light" w:hAnsi="Lato Light" w:eastAsia="Lato Light"/>
        <w:sz w:val="14"/>
        <w:szCs w:val="14"/>
        <w:rtl w:val="0"/>
        <w:lang w:val="en-US"/>
      </w:rPr>
      <w:t xml:space="preserve">pec: amministrazione@pec.fierapordenone.it  </w:t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lang w:val="en-US"/>
        <w14:textFill>
          <w14:solidFill>
            <w14:srgbClr w14:val="00B050"/>
          </w14:solidFill>
        </w14:textFill>
      </w:rPr>
      <w:fldChar w:fldCharType="begin" w:fldLock="0"/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lang w:val="en-US"/>
        <w14:textFill>
          <w14:solidFill>
            <w14:srgbClr w14:val="00B050"/>
          </w14:solidFill>
        </w14:textFill>
      </w:rPr>
      <w:instrText xml:space="preserve"> HYPERLINK "http://www.fierapordenone.it"</w:instrText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lang w:val="en-US"/>
        <w14:textFill>
          <w14:solidFill>
            <w14:srgbClr w14:val="00B050"/>
          </w14:solidFill>
        </w14:textFill>
      </w:rPr>
      <w:fldChar w:fldCharType="separate" w:fldLock="0"/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rtl w:val="0"/>
        <w:lang w:val="en-US"/>
        <w14:textFill>
          <w14:solidFill>
            <w14:srgbClr w14:val="00B050"/>
          </w14:solidFill>
        </w14:textFill>
      </w:rPr>
      <w:t>www.fierapordenone.it</w:t>
    </w:r>
    <w:r>
      <w:rPr>
        <w:lang w:val="en-US"/>
      </w:rPr>
      <w:fldChar w:fldCharType="end" w:fldLock="0"/>
    </w:r>
  </w:p>
  <w:p>
    <w:pPr>
      <w:pStyle w:val="Normal0"/>
      <w:spacing w:line="276" w:lineRule="auto"/>
    </w:pPr>
    <w:r>
      <w:rPr>
        <w:rStyle w:val="Nessuno"/>
        <w:rFonts w:ascii="Lato Light" w:cs="Lato Light" w:hAnsi="Lato Light" w:eastAsia="Lato Light"/>
        <w:sz w:val="14"/>
        <w:szCs w:val="14"/>
        <w:rtl w:val="0"/>
        <w:lang w:val="en-US"/>
      </w:rPr>
      <w:t>P.IVA: 00076940931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0"/>
      <w:jc w:val="center"/>
      <w:rPr>
        <w:rFonts w:ascii="Lato" w:cs="Lato" w:hAnsi="Lato" w:eastAsia="Lato"/>
        <w:sz w:val="30"/>
        <w:szCs w:val="30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540382</wp:posOffset>
          </wp:positionH>
          <wp:positionV relativeFrom="page">
            <wp:posOffset>-2792694</wp:posOffset>
          </wp:positionV>
          <wp:extent cx="3148716" cy="1023935"/>
          <wp:effectExtent l="0" t="0" r="0" b="0"/>
          <wp:wrapNone/>
          <wp:docPr id="1073741825" name="officeArt object" descr="Immagine 1192034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192034357" descr="Immagine 11920343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34969" r="0" b="32512"/>
                  <a:stretch>
                    <a:fillRect/>
                  </a:stretch>
                </pic:blipFill>
                <pic:spPr>
                  <a:xfrm>
                    <a:off x="0" y="0"/>
                    <a:ext cx="3148716" cy="1023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4417059</wp:posOffset>
          </wp:positionH>
          <wp:positionV relativeFrom="page">
            <wp:posOffset>725169</wp:posOffset>
          </wp:positionV>
          <wp:extent cx="930304" cy="681415"/>
          <wp:effectExtent l="0" t="0" r="0" b="0"/>
          <wp:wrapNone/>
          <wp:docPr id="1073741826" name="officeArt object" descr="Immagine che contiene testo, Carattere, Elementi grafici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che contiene testo, Carattere, Elementi grafici, logoDescrizione generata automaticamente" descr="Immagine che contiene testo, Carattere, Elementi grafici, logo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304" cy="6814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5645784</wp:posOffset>
          </wp:positionH>
          <wp:positionV relativeFrom="page">
            <wp:posOffset>848994</wp:posOffset>
          </wp:positionV>
          <wp:extent cx="1028087" cy="524786"/>
          <wp:effectExtent l="0" t="0" r="0" b="0"/>
          <wp:wrapNone/>
          <wp:docPr id="1073741827" name="officeArt object" descr="Immagine che contiene testo, Carattere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che contiene testo, Carattere, Elementi grafici, logoIl contenuto generato dall'IA potrebbe non essere corretto." descr="Immagine che contiene testo, Carattere, Elementi grafici, logo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87" cy="5247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514984</wp:posOffset>
              </wp:positionH>
              <wp:positionV relativeFrom="page">
                <wp:posOffset>10237469</wp:posOffset>
              </wp:positionV>
              <wp:extent cx="0" cy="12702"/>
              <wp:effectExtent l="0" t="0" r="0" b="0"/>
              <wp:wrapNone/>
              <wp:docPr id="1073741828" name="officeArt object" descr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12702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0.5pt;margin-top:806.1pt;width:0.0pt;height:1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5552480</wp:posOffset>
          </wp:positionH>
          <wp:positionV relativeFrom="page">
            <wp:posOffset>10499089</wp:posOffset>
          </wp:positionV>
          <wp:extent cx="1472400" cy="432000"/>
          <wp:effectExtent l="0" t="0" r="0" b="0"/>
          <wp:wrapNone/>
          <wp:docPr id="1073741829" name="officeArt object" descr="Immagine 1403655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140365526" descr="Immagine 140365526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43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Normal0"/>
      <w:jc w:val="center"/>
      <w:rPr>
        <w:rStyle w:val="Hyperlink.2"/>
        <w:rFonts w:ascii="Lato" w:cs="Lato" w:hAnsi="Lato" w:eastAsia="Lato"/>
        <w:sz w:val="30"/>
        <w:szCs w:val="30"/>
      </w:rPr>
    </w:pPr>
  </w:p>
  <w:p>
    <w:pPr>
      <w:pStyle w:val="Normal0"/>
    </w:pPr>
  </w:p>
  <w:p>
    <w:pPr>
      <w:pStyle w:val="Normal0"/>
    </w:pPr>
  </w:p>
  <w:p>
    <w:pPr>
      <w:pStyle w:val="Normal0"/>
      <w:rPr>
        <w:rFonts w:ascii="Lato" w:cs="Lato" w:hAnsi="Lato" w:eastAsia="Lato"/>
        <w:outline w:val="0"/>
        <w:color w:val="00b0f0"/>
        <w:sz w:val="27"/>
        <w:szCs w:val="27"/>
        <w:u w:color="00b0f0"/>
        <w14:textFill>
          <w14:solidFill>
            <w14:srgbClr w14:val="00B0F0"/>
          </w14:solidFill>
        </w14:textFill>
      </w:rPr>
    </w:pPr>
    <w:r>
      <w:rPr>
        <w:rFonts w:ascii="Lato" w:cs="Lato" w:hAnsi="Lato" w:eastAsia="Lato"/>
        <w:outline w:val="0"/>
        <w:color w:val="00b0f0"/>
        <w:sz w:val="27"/>
        <w:szCs w:val="27"/>
        <w:u w:color="00b0f0"/>
        <w:rtl w:val="0"/>
        <w:lang w:val="it-IT"/>
        <w14:textFill>
          <w14:solidFill>
            <w14:srgbClr w14:val="00B0F0"/>
          </w14:solidFill>
        </w14:textFill>
      </w:rPr>
      <w:t xml:space="preserve">   </w:t>
    </w:r>
  </w:p>
  <w:p>
    <w:pPr>
      <w:pStyle w:val="Normal0"/>
      <w:jc w:val="center"/>
      <w:rPr>
        <w:rStyle w:val="Nessuno"/>
        <w:rFonts w:ascii="Lato" w:cs="Lato" w:hAnsi="Lato" w:eastAsia="Lato"/>
        <w:sz w:val="30"/>
        <w:szCs w:val="30"/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"http://www.aquafarmexpo.it"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www.aquafarmexpo.it</w:t>
    </w:r>
    <w:r>
      <w:rPr/>
      <w:fldChar w:fldCharType="end" w:fldLock="0"/>
    </w:r>
    <w:r>
      <w:rPr>
        <w:rStyle w:val="Hyperlink.2"/>
      </w:rPr>
      <w:tab/>
    </w:r>
    <w:r>
      <w:rPr>
        <w:rStyle w:val="Nessuno"/>
        <w:outline w:val="0"/>
        <w:color w:val="6a9a3d"/>
        <w:u w:color="6a9a3d"/>
        <w:rtl w:val="0"/>
        <w:lang w:val="it-IT"/>
        <w14:textFill>
          <w14:solidFill>
            <w14:srgbClr w14:val="6A9A3D"/>
          </w14:solidFill>
        </w14:textFill>
      </w:rPr>
      <w:t xml:space="preserve"> </w:t>
    </w:r>
    <w:r>
      <w:rPr>
        <w:rStyle w:val="Nessuno"/>
        <w:rFonts w:ascii="Lato" w:cs="Lato" w:hAnsi="Lato" w:eastAsia="Lato"/>
        <w:outline w:val="0"/>
        <w:color w:val="2f5496"/>
        <w:sz w:val="30"/>
        <w:szCs w:val="30"/>
        <w:u w:color="2f5496"/>
        <w:rtl w:val="0"/>
        <w:lang w:val="it-IT"/>
        <w14:textFill>
          <w14:solidFill>
            <w14:srgbClr w14:val="2F5496"/>
          </w14:solidFill>
        </w14:textFill>
      </w:rPr>
      <w:t>18 - 19 FEBBRAIO 2026, Pordenone</w:t>
    </w:r>
  </w:p>
  <w:p>
    <w:pPr>
      <w:pStyle w:val="Normal0"/>
      <w:jc w:val="right"/>
      <w:rPr>
        <w:rStyle w:val="Nessuno"/>
        <w:rFonts w:ascii="Lato" w:cs="Lato" w:hAnsi="Lato" w:eastAsia="Lato"/>
        <w:b w:val="1"/>
        <w:bCs w:val="1"/>
        <w:outline w:val="0"/>
        <w:color w:val="d0cece"/>
        <w:u w:color="d0cece"/>
        <w14:textFill>
          <w14:solidFill>
            <w14:srgbClr w14:val="D0CECE"/>
          </w14:solidFill>
        </w14:textFill>
      </w:rPr>
    </w:pPr>
  </w:p>
  <w:p>
    <w:pPr>
      <w:pStyle w:val="Normal0"/>
      <w:jc w:val="center"/>
    </w:pPr>
    <w:r>
      <w:rPr>
        <w:rStyle w:val="Nessuno"/>
        <w:rFonts w:ascii="Lato" w:cs="Lato" w:hAnsi="Lato" w:eastAsia="Lato"/>
        <w:outline w:val="0"/>
        <w:color w:val="00b0f0"/>
        <w:sz w:val="27"/>
        <w:szCs w:val="27"/>
        <w:u w:color="00b0f0"/>
        <w:rtl w:val="0"/>
        <w:lang w:val="it-IT"/>
        <w14:textFill>
          <w14:solidFill>
            <w14:srgbClr w14:val="00B0F0"/>
          </w14:solidFill>
        </w14:textFill>
      </w:rPr>
      <w:t>COMUNICATO</w:t>
    </w:r>
    <w:r>
      <w:rPr>
        <w:rStyle w:val="Nessuno"/>
        <w:rFonts w:ascii="Lato" w:cs="Lato" w:hAnsi="Lato" w:eastAsia="Lato"/>
        <w:outline w:val="0"/>
        <w:color w:val="3885b7"/>
        <w:sz w:val="27"/>
        <w:szCs w:val="27"/>
        <w:u w:color="3885b7"/>
        <w:rtl w:val="0"/>
        <w:lang w:val="it-IT"/>
        <w14:textFill>
          <w14:solidFill>
            <w14:srgbClr w14:val="3885B7"/>
          </w14:solidFill>
        </w14:textFill>
      </w:rPr>
      <w:t xml:space="preserve"> STAMPA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Lato" w:cs="Lato" w:hAnsi="Lato" w:eastAsia="Lato"/>
      <w:outline w:val="0"/>
      <w:color w:val="2f5496"/>
      <w:sz w:val="27"/>
      <w:szCs w:val="27"/>
      <w:u w:val="single" w:color="2f5496"/>
      <w14:textFill>
        <w14:solidFill>
          <w14:srgbClr w14:val="2F5496"/>
        </w14:solidFill>
      </w14:textFill>
    </w:rPr>
  </w:style>
  <w:style w:type="character" w:styleId="Hyperlink.1">
    <w:name w:val="Hyperlink.1"/>
    <w:basedOn w:val="Nessuno"/>
    <w:next w:val="Hyperlink.1"/>
    <w:rPr>
      <w:rFonts w:ascii="Lato Light" w:cs="Lato Light" w:hAnsi="Lato Light" w:eastAsia="Lato Light"/>
      <w:outline w:val="0"/>
      <w:color w:val="00b050"/>
      <w:sz w:val="14"/>
      <w:szCs w:val="14"/>
      <w:u w:val="single" w:color="00b050"/>
      <w:lang w:val="en-US"/>
      <w14:textFill>
        <w14:solidFill>
          <w14:srgbClr w14:val="00B05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jpeg"/><Relationship Id="rId4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